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40311C"/>
          <w:sz w:val="36"/>
        </w:rPr>
        <w:t>阿索斯山葡萄酒 — 教育资料</w:t>
      </w:r>
    </w:p>
    <w:p>
      <w:pPr>
        <w:jc w:val="center"/>
      </w:pPr>
      <w:r>
        <w:rPr>
          <w:color w:val="666666"/>
          <w:sz w:val="18"/>
        </w:rPr>
        <w:t>第二年度新增内容已对应整合到现有手册结构中。黑色 = 手册已有内容 · 红色 = 第二年度新增内容，置于其所属章节之下。</w:t>
      </w:r>
    </w:p>
    <w:p>
      <w:pPr>
        <w:pStyle w:val="Heading1"/>
      </w:pPr>
      <w:r>
        <w:rPr>
          <w:color w:val="1B1B1B"/>
        </w:rPr>
        <w:t>章节 1 — 引言</w:t>
      </w:r>
    </w:p>
    <w:p>
      <w:r>
        <w:rPr>
          <w:b/>
          <w:i/>
          <w:color w:val="666666"/>
        </w:rPr>
        <w:t xml:space="preserve">手册中已有内容： </w:t>
      </w:r>
      <w:r>
        <w:rPr>
          <w:i/>
          <w:color w:val="666666"/>
        </w:rPr>
        <w:t>阿索斯山的地理与神话；历史意义（古代文献、基督教时期、修道制度的发展、Typika、自治地位、第二次世界大战时期）；自然环境（植被、地质、气候）。</w:t>
      </w:r>
    </w:p>
    <w:p>
      <w:r>
        <w:rPr>
          <w:i/>
          <w:color w:val="666666"/>
        </w:rPr>
        <w:t>— 本章没有第二年度新增内容。</w:t>
      </w:r>
    </w:p>
    <w:p>
      <w:pPr>
        <w:pStyle w:val="Heading1"/>
      </w:pPr>
      <w:r>
        <w:rPr>
          <w:color w:val="1B1B1B"/>
        </w:rPr>
        <w:t>章节 2 — 文化意义与当代现状</w:t>
      </w:r>
    </w:p>
    <w:p>
      <w:r>
        <w:rPr>
          <w:b/>
          <w:i/>
          <w:color w:val="666666"/>
        </w:rPr>
        <w:t xml:space="preserve">手册中已有内容： </w:t>
      </w:r>
      <w:r>
        <w:rPr>
          <w:i/>
          <w:color w:val="666666"/>
        </w:rPr>
        <w:t>修道院的文化意义；20 座圣修道院、skete 与修士小室；治理体系（Holy Community、Holy Epistasia、Holy Synaxis）；联合国教科文组织世界遗产；Natura 2000；人口情况以及凭 diamonitirion 通行证进入。</w:t>
      </w:r>
    </w:p>
    <w:p>
      <w:r>
        <w:rPr>
          <w:i/>
          <w:color w:val="666666"/>
        </w:rPr>
        <w:t>— 本章没有第二年度新增内容。</w:t>
      </w:r>
    </w:p>
    <w:p>
      <w:pPr>
        <w:pStyle w:val="Heading1"/>
      </w:pPr>
      <w:r>
        <w:rPr>
          <w:color w:val="1B1B1B"/>
        </w:rPr>
        <w:t>章节 3 — 阿索斯山的酿酒传统</w:t>
      </w:r>
    </w:p>
    <w:p>
      <w:r>
        <w:rPr>
          <w:b/>
          <w:i/>
          <w:color w:val="666666"/>
        </w:rPr>
        <w:t xml:space="preserve">手册中已有内容： </w:t>
      </w:r>
      <w:r>
        <w:rPr>
          <w:i/>
          <w:color w:val="666666"/>
        </w:rPr>
        <w:t>自古以来的葡萄栽培；Tragos 与第 15 条规则（禁止将葡萄酒出售到 Zygos 河以外）；拜占庭和奥斯曼时期；根瘤蚜灾害（约 1925 年）以及 1980 年代的复兴；葡萄压榨（paravoutes、vagenia、rakario / tsipouro）；葡萄酒对修道生活身份的贡献；阿索斯山的葡萄酒身份（葡萄品种、现代酿造、文化与精神维度）。</w:t>
      </w:r>
    </w:p>
    <w:p>
      <w:r>
        <w:rPr>
          <w:b/>
          <w:color w:val="C00000"/>
        </w:rPr>
        <w:t>▸ 第二年度 — 新增 — 将第 3 章历史内容汇集为一个清晰的历史时间轴</w:t>
      </w:r>
    </w:p>
    <w:p>
      <w:pPr>
        <w:pStyle w:val="Heading2"/>
      </w:pPr>
      <w:r>
        <w:rPr>
          <w:color w:val="1B1B1B"/>
        </w:rPr>
        <w:t>历史时间轴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87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时间</w:t>
            </w:r>
          </w:p>
        </w:tc>
        <w:tc>
          <w:tcPr>
            <w:tcW w:type="dxa" w:w="765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里程碑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古代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哈尔基季基地区的名酒（Mende、Aphytis、Akanthos、Skione）享有盛名；传统上，Stageira 曾有与亚里士多德相关的葡萄园。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10 世纪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有组织的修道共同体形成；几乎每座修道院都保有葡萄园。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约 972 年 — Tragos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阿索斯第一部 Typikon；第 15 条规则管理葡萄酒，并禁止将其出售到 Zygos 河以外。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1046 年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第二部 Typikon（君士坦丁九世·莫诺马霍斯）规范修道院财产与商业活动。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拜占庭时期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修道院葡萄园遍布东马其顿和哈尔基季基；葡萄酒贸易远至君士坦丁堡。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奥斯曼时期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自 16 世纪起，税负上升并逐渐衰落。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1749 年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Athoniada 学院在 Vatopedi 修道院成立。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1821 年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独立战争 — 产量急剧下降。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约 1925 年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根瘤蚜到达半岛；随后品种构成发生变化。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1980 年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新一代修士开始系统性重新栽种与复兴。</w:t>
            </w:r>
          </w:p>
        </w:tc>
      </w:tr>
      <w:tr>
        <w:tc>
          <w:tcPr>
            <w:tcW w:type="dxa" w:w="1871"/>
            <w:vAlign w:val="center"/>
          </w:tcPr>
          <w:p>
            <w:r>
              <w:rPr>
                <w:sz w:val="17"/>
              </w:rPr>
              <w:t>今天</w:t>
            </w:r>
          </w:p>
        </w:tc>
        <w:tc>
          <w:tcPr>
            <w:tcW w:type="dxa" w:w="7654"/>
            <w:vAlign w:val="center"/>
          </w:tcPr>
          <w:p>
            <w:r>
              <w:rPr>
                <w:sz w:val="17"/>
              </w:rPr>
              <w:t>PGI 阿索斯山；现代化酒庄与 metochia（如 Mylopotamos、Chromitsa）。</w:t>
            </w:r>
          </w:p>
        </w:tc>
      </w:tr>
    </w:tbl>
    <w:p/>
    <w:p>
      <w:pPr>
        <w:pStyle w:val="Heading1"/>
      </w:pPr>
      <w:r>
        <w:rPr>
          <w:color w:val="1B1B1B"/>
        </w:rPr>
        <w:t>章节 4 — 原产地标识：PGI 阿索斯山</w:t>
      </w:r>
    </w:p>
    <w:p>
      <w:r>
        <w:rPr>
          <w:b/>
          <w:i/>
          <w:color w:val="666666"/>
        </w:rPr>
        <w:t>手册中已有内容： PGI 产区范围（阿索斯山及 Ouranoupoli 地区，Stagira–Akanthos 市，海拔 10–400 米）；现行产品规范所列的 16 个法定品种清单；酿造方式（白葡萄酒、白色晒干葡萄酒、红葡萄酒、红色晒干葡萄酒、利口 / 加强型葡萄酒、桃红）；风土、地貌、微气候与气候；传统与现代实践；技术规范；以及“葡萄品种”——四张品种资料卡。</w:t>
      </w:r>
      <w:r>
        <w:rPr>
          <w:i/>
          <w:color w:val="666666"/>
        </w:rPr>
      </w:r>
    </w:p>
    <w:p>
      <w:pPr>
        <w:pStyle w:val="Heading2"/>
      </w:pPr>
      <w:r>
        <w:rPr>
          <w:color w:val="1B1B1B"/>
        </w:rPr>
        <w:t>葡萄品种 — 现有资料卡（4 张）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70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品种</w:t>
            </w:r>
          </w:p>
        </w:tc>
        <w:tc>
          <w:tcPr>
            <w:tcW w:type="dxa" w:w="158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类型</w:t>
            </w:r>
          </w:p>
        </w:tc>
        <w:tc>
          <w:tcPr>
            <w:tcW w:type="dxa" w:w="147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颜色</w:t>
            </w:r>
          </w:p>
        </w:tc>
        <w:tc>
          <w:tcPr>
            <w:tcW w:type="dxa" w:w="215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酸度</w:t>
            </w:r>
          </w:p>
        </w:tc>
        <w:tc>
          <w:tcPr>
            <w:tcW w:type="dxa" w:w="136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香气</w:t>
            </w:r>
          </w:p>
        </w:tc>
        <w:tc>
          <w:tcPr>
            <w:tcW w:type="dxa" w:w="255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单宁</w:t>
            </w:r>
          </w:p>
        </w:tc>
        <w:tc>
          <w:tcPr>
            <w:tcW w:type="dxa" w:w="145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瓶中陈年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Muscat of Alexandria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白葡萄品种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中等强度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低至中等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玫瑰花瓣、橙皮、佛手柑、白色柑橘花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葡萄干、杏干、橙子果酱、rancio 氧化陈香；干型适合年轻饮用，甜型具有较高陈年潜力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Limnio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红葡萄品种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中等强度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中等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新鲜草本、野生红色浆果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中等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香料、红色水果果酱；中等陈年潜力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Xinomavro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红葡萄品种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浅至中等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高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野生红色浆果、酸樱桃、黑橄榄、番茄、卷心菜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高，紧致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发展缓慢，陈年潜力高；蘑菇、烟草叶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Cabernet Sauvignon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红葡萄品种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深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高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黑加仑、桉树、黑莓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高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烟草叶、蘑菇、泥土、皮革、咖啡；长期陈年潜力</w:t>
            </w:r>
          </w:p>
        </w:tc>
      </w:tr>
    </w:tbl>
    <w:p/>
    <w:p>
      <w:r>
        <w:rPr>
          <w:b/>
          <w:color w:val="C00000"/>
        </w:rPr>
        <w:t>▸ 第二年度 — 新增品种卡 — 补全至 现行 PGI 产品规范所列的 16 个法定品种（另含 Fokiano，作为历史品种说明）</w:t>
      </w:r>
    </w:p>
    <w:p>
      <w:pPr>
        <w:pStyle w:val="Heading2"/>
      </w:pPr>
      <w:r>
        <w:rPr>
          <w:color w:val="1B1B1B"/>
        </w:rPr>
        <w:t>红葡萄品种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70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品种</w:t>
            </w:r>
          </w:p>
        </w:tc>
        <w:tc>
          <w:tcPr>
            <w:tcW w:type="dxa" w:w="158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类型</w:t>
            </w:r>
          </w:p>
        </w:tc>
        <w:tc>
          <w:tcPr>
            <w:tcW w:type="dxa" w:w="147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颜色</w:t>
            </w:r>
          </w:p>
        </w:tc>
        <w:tc>
          <w:tcPr>
            <w:tcW w:type="dxa" w:w="215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酸度</w:t>
            </w:r>
          </w:p>
        </w:tc>
        <w:tc>
          <w:tcPr>
            <w:tcW w:type="dxa" w:w="136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香气</w:t>
            </w:r>
          </w:p>
        </w:tc>
        <w:tc>
          <w:tcPr>
            <w:tcW w:type="dxa" w:w="255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单宁</w:t>
            </w:r>
          </w:p>
        </w:tc>
        <w:tc>
          <w:tcPr>
            <w:tcW w:type="dxa" w:w="145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瓶中陈年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Cabernet Franc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红葡萄品种 · 国际品种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中等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中等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覆盆子、红醋栗、叶片 / 青椒、紫罗兰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中等，细腻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雪松、石墨、铅笔芯；中等陈年潜力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Syrah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红葡萄品种 · 国际品种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深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中等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黑莓、黑加仑、黑胡椒、紫罗兰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高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烟熏肉、皮革、橄榄、香料；高陈年潜力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Merlot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红葡萄品种 · 国际品种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中等至深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中等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李子、黑樱桃、可可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中等，柔和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水果蛋糕、可可、烟草；中等陈年潜力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Grenache Rouge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红葡萄品种 · 国际品种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中等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低至中等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草莓、覆盆子、白胡椒、干草本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中等，柔和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无花果、皮革、温暖香料；中等陈年潜力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Muscat Hamburg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红 / 轻盈型 · 国际品种（芳香型；可作鲜食与酿酒葡萄）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浅至中等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中等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葡萄 / 麝香风味、玫瑰、新鲜红色水果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低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适合年轻新鲜饮用；陈年潜力低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Fokiano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红葡萄品种 · 希腊本土品种 — 在当地种植，但不属于 14 个 PGI 法定品种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浅至中等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中等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明亮樱桃、红醋栗、轻柔香料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低至中等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适合年轻饮用；低至中等陈年潜力</w:t>
            </w:r>
          </w:p>
        </w:tc>
      </w:tr>
    </w:tbl>
    <w:p/>
    <w:p>
      <w:pPr>
        <w:pStyle w:val="Heading2"/>
      </w:pPr>
      <w:r>
        <w:rPr>
          <w:color w:val="1B1B1B"/>
        </w:rPr>
        <w:t>白葡萄品种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70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品种</w:t>
            </w:r>
          </w:p>
        </w:tc>
        <w:tc>
          <w:tcPr>
            <w:tcW w:type="dxa" w:w="158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类型</w:t>
            </w:r>
          </w:p>
        </w:tc>
        <w:tc>
          <w:tcPr>
            <w:tcW w:type="dxa" w:w="147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颜色</w:t>
            </w:r>
          </w:p>
        </w:tc>
        <w:tc>
          <w:tcPr>
            <w:tcW w:type="dxa" w:w="2154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酸度</w:t>
            </w:r>
          </w:p>
        </w:tc>
        <w:tc>
          <w:tcPr>
            <w:tcW w:type="dxa" w:w="136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香气</w:t>
            </w:r>
          </w:p>
        </w:tc>
        <w:tc>
          <w:tcPr>
            <w:tcW w:type="dxa" w:w="255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单宁</w:t>
            </w:r>
          </w:p>
        </w:tc>
        <w:tc>
          <w:tcPr>
            <w:tcW w:type="dxa" w:w="1457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瓶中陈年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Assyrtiko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白葡萄品种 · 希腊品种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浅色，柠檬绿色调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高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柠檬 / 柑橘、燧石、矿物感、咸感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蜂蜜、蜡质、坚果；高陈年潜力（对白葡萄酒而言较少见）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Athiri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白葡萄品种 · 希腊品种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浅色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中等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柑橘、白花、柔和桃子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适合年轻新鲜饮用；陈年潜力低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Roditis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白葡萄品种（粉红果皮）· 希腊品种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浅色，带轻微铜色调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中等至高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柑橘、甜瓜、轻盈花香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适宜年轻时饮用；陈年潜力较低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Chardonnay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白葡萄品种 · 国际品种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浅色至金色（经橡木处理时）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中等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柑橘、苹果、梨（未过橡木）；黄油、香草、烘烤（过橡木）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坚果与蜂蜜气息（橡木风格）；中等陈年潜力</w:t>
            </w:r>
          </w:p>
        </w:tc>
      </w:tr>
      <w:tr>
        <w:tc>
          <w:tcPr>
            <w:tcW w:type="dxa" w:w="1701"/>
            <w:vAlign w:val="center"/>
          </w:tcPr>
          <w:p>
            <w:r>
              <w:rPr>
                <w:sz w:val="17"/>
              </w:rPr>
              <w:t>Sauvignon Blanc</w:t>
            </w:r>
          </w:p>
        </w:tc>
        <w:tc>
          <w:tcPr>
            <w:tcW w:type="dxa" w:w="1587"/>
            <w:vAlign w:val="center"/>
          </w:tcPr>
          <w:p>
            <w:r>
              <w:rPr>
                <w:sz w:val="17"/>
              </w:rPr>
              <w:t>白葡萄品种 · 国际品种</w:t>
            </w:r>
          </w:p>
        </w:tc>
        <w:tc>
          <w:tcPr>
            <w:tcW w:type="dxa" w:w="1474"/>
            <w:vAlign w:val="center"/>
          </w:tcPr>
          <w:p>
            <w:r>
              <w:rPr>
                <w:sz w:val="17"/>
              </w:rPr>
              <w:t>浅色，柠檬绿色调</w:t>
            </w:r>
          </w:p>
        </w:tc>
        <w:tc>
          <w:tcPr>
            <w:tcW w:type="dxa" w:w="2154"/>
            <w:vAlign w:val="center"/>
          </w:tcPr>
          <w:p>
            <w:r>
              <w:rPr>
                <w:sz w:val="17"/>
              </w:rPr>
              <w:t>高</w:t>
            </w:r>
          </w:p>
        </w:tc>
        <w:tc>
          <w:tcPr>
            <w:tcW w:type="dxa" w:w="1361"/>
            <w:vAlign w:val="center"/>
          </w:tcPr>
          <w:p>
            <w:r>
              <w:rPr>
                <w:sz w:val="17"/>
              </w:rPr>
              <w:t>柑橘、绿色草本、醋栗、青苹果</w:t>
            </w:r>
          </w:p>
        </w:tc>
        <w:tc>
          <w:tcPr>
            <w:tcW w:type="dxa" w:w="2551"/>
            <w:vAlign w:val="center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1457"/>
            <w:vAlign w:val="center"/>
          </w:tcPr>
          <w:p>
            <w:r>
              <w:rPr>
                <w:sz w:val="17"/>
              </w:rPr>
              <w:t>适合年轻新鲜饮用；陈年潜力低</w:t>
            </w:r>
          </w:p>
        </w:tc>
      </w:tr>
    </w:tbl>
    <w:p/>
    <w:p>
      <w:pPr>
        <w:pStyle w:val="Heading1"/>
      </w:pPr>
      <w:r>
        <w:rPr>
          <w:color w:val="1B1B1B"/>
        </w:rPr>
        <w:t>建议新增章节（第二年度）</w:t>
      </w:r>
    </w:p>
    <w:p>
      <w:r>
        <w:t>以下内容属于手册体系，但目前没有对应的既有章节；每一项均为新增内容。</w:t>
      </w:r>
    </w:p>
    <w:p>
      <w:r>
        <w:rPr>
          <w:b/>
          <w:color w:val="C00000"/>
        </w:rPr>
        <w:t>▸ 第二年度 — 新增章节</w:t>
      </w:r>
    </w:p>
    <w:p>
      <w:pPr>
        <w:pStyle w:val="Heading2"/>
      </w:pPr>
      <w:r>
        <w:rPr>
          <w:color w:val="1B1B1B"/>
        </w:rPr>
        <w:t>餐酒搭配指南</w:t>
      </w:r>
    </w:p>
    <w:p>
      <w:r>
        <w:t>将每一种葡萄酒风格与希腊及地中海菜肴相连接，并对应修道院餐桌中的斋戒菜（nistísima）与节庆菜（giortina）。本指南讨论的是餐酒，而不是神圣礼仪用酒。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381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风格 / 品种</w:t>
            </w:r>
          </w:p>
        </w:tc>
        <w:tc>
          <w:tcPr>
            <w:tcW w:type="dxa" w:w="3288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希腊与地中海菜肴</w:t>
            </w:r>
          </w:p>
        </w:tc>
        <w:tc>
          <w:tcPr>
            <w:tcW w:type="dxa" w:w="3855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修道院餐桌 — 重大宗教节日与修道院节庆日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清爽白葡萄酒 — Assyrtiko、Athiri、Roditis、Sauvignon Blanc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烤鱼、海鲜、柠檬风味菜肴、沙拉、菲达奶酪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斋戒餐：豆类（fava、gigantes）、野菜（hórta）、章鱼、橄榄油蔬菜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芳香型与橡木型白葡萄酒 — 干型 Muscat、Chardonnay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禽肉、奶油或黄油风味菜肴、温和奶酪、香草沙拉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蔬菜派与香草菜肴；非斋戒日可搭配更丰厚的橄榄油料理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桃红与轻盈红葡萄酒 — Muscat Hamburg、Fokiano、较轻盈的 Merlot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冷切肉、番茄菜肴、烤蔬菜、温和奶酪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斋戒蔬菜炖菜（briam、ladera）、番茄与豆类菜肴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结构型红葡萄酒 — Xinomavro、Limnio、Cabernet、Syrah、Grenache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烤或炙烤红肉、野味、炖菜、陈年奶酪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节庆日：烤羊肉、肉类炖菜、陈年 graviera 奶酪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7"/>
              </w:rPr>
              <w:t>晒干与加强型甜酒 — 甜型 Muscat、liastos、vin doux</w:t>
            </w:r>
          </w:p>
        </w:tc>
        <w:tc>
          <w:tcPr>
            <w:tcW w:type="dxa" w:w="3288"/>
            <w:vAlign w:val="center"/>
          </w:tcPr>
          <w:p>
            <w:r>
              <w:rPr>
                <w:sz w:val="17"/>
              </w:rPr>
              <w:t>甜点、干果与坚果、蓝纹奶酪</w:t>
            </w:r>
          </w:p>
        </w:tc>
        <w:tc>
          <w:tcPr>
            <w:tcW w:type="dxa" w:w="3855"/>
            <w:vAlign w:val="center"/>
          </w:tcPr>
          <w:p>
            <w:r>
              <w:rPr>
                <w:sz w:val="17"/>
              </w:rPr>
              <w:t>节庆甜点、蜂蜜坚果甜品（如 baklava）、干果与坚果；餐后享用</w:t>
            </w:r>
          </w:p>
        </w:tc>
      </w:tr>
    </w:tbl>
    <w:p/>
    <w:p>
      <w:r>
        <w:rPr>
          <w:b/>
          <w:color w:val="C00000"/>
        </w:rPr>
        <w:t>▸ 第二年度 — 新增章节</w:t>
      </w:r>
    </w:p>
    <w:p>
      <w:pPr>
        <w:pStyle w:val="Heading2"/>
      </w:pPr>
      <w:r>
        <w:rPr>
          <w:color w:val="1B1B1B"/>
        </w:rPr>
        <w:t>侍酒与品鉴实用指南</w:t>
      </w:r>
    </w:p>
    <w:p>
      <w:pPr>
        <w:pStyle w:val="Heading3"/>
      </w:pPr>
      <w:r>
        <w:rPr>
          <w:color w:val="1B1B1B"/>
        </w:rPr>
        <w:t>侍酒温度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969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葡萄酒风格</w:t>
            </w:r>
          </w:p>
        </w:tc>
        <w:tc>
          <w:tcPr>
            <w:tcW w:type="dxa" w:w="2268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侍酒温度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清爽白葡萄酒与桃红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8–10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更饱满 / 橡木型白葡萄酒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10–12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轻盈红葡萄酒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12–14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结构型红葡萄酒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16–18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晒干与甜型白葡萄酒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8–12 °C</w:t>
            </w:r>
          </w:p>
        </w:tc>
      </w:tr>
      <w:tr>
        <w:tc>
          <w:tcPr>
            <w:tcW w:type="dxa" w:w="3969"/>
            <w:vAlign w:val="center"/>
          </w:tcPr>
          <w:p>
            <w:r>
              <w:rPr>
                <w:sz w:val="17"/>
              </w:rPr>
              <w:t>加强型甜酒（vin doux）</w:t>
            </w:r>
          </w:p>
        </w:tc>
        <w:tc>
          <w:tcPr>
            <w:tcW w:type="dxa" w:w="2268"/>
            <w:vAlign w:val="center"/>
          </w:tcPr>
          <w:p>
            <w:r>
              <w:rPr>
                <w:sz w:val="17"/>
              </w:rPr>
              <w:t>12–14 °C</w:t>
            </w:r>
          </w:p>
        </w:tc>
      </w:tr>
    </w:tbl>
    <w:p/>
    <w:p>
      <w:pPr>
        <w:pStyle w:val="Heading3"/>
      </w:pPr>
      <w:r>
        <w:rPr>
          <w:color w:val="1B1B1B"/>
        </w:rPr>
        <w:t>酒杯 — 每种风格对应的杯型</w:t>
      </w:r>
    </w:p>
    <w:p>
      <w:r>
        <w:t>酒杯应按杯型而非大小选择：杯型会以不同方式引导葡萄酒及其香气。应握住杯柄，以保持酒温；倒酒约至三分之一，留出旋杯空间。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402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风格 / 品种</w:t>
            </w:r>
          </w:p>
        </w:tc>
        <w:tc>
          <w:tcPr>
            <w:tcW w:type="dxa" w:w="5953"/>
            <w:shd w:fill="EDE7DA"/>
            <w:vAlign w:val="center"/>
          </w:tcPr>
          <w:p>
            <w:r>
              <w:rPr>
                <w:b/>
                <w:color w:val="40311C"/>
                <w:sz w:val="17"/>
              </w:rPr>
              <w:t>杯型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清爽芳香型白葡萄酒 — Assyrtiko、Athiri、Roditis、Sauvignon Blanc、干型 Muscat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小型收口白葡萄酒杯（Sauvignon Blanc 杯型）— 杯身较窄，有助于保持低温、支撑酸度，并提升柑橘与花香。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更饱满 / 橡木型白葡萄酒 — Chardonnay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较宽的白葡萄酒杯（橡木 Chardonnay 杯型）— 杯肚更宽，为质感和柔和烘烤香气留出空间。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桃红与轻盈红葡萄酒 — Muscat Hamburg、Fokiano、较轻盈的 Merlot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桃红杯或小型红葡萄酒杯，杯口略外展，以突出新鲜水果感。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芳香型、高酸红葡萄酒 — Xinomavro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宽大圆润的红葡萄酒杯（Burgundy / Nebbiolo 杯型）— 可柔化单宁并聚拢细腻香气。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波尔多结构型红葡萄酒 — Cabernet Sauvignon、Cabernet Franc、Merlot、Limnio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高身宽容量红葡萄酒杯（Bordeaux 杯型）— 有助于让酒液越过坚实单宁，更好展现结构。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香料型红葡萄酒 — Syrah、Grenache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Syrah 杯型（大型红葡萄酒杯）— 稍窄的杯口可调和胡椒与香料感。</w:t>
            </w:r>
          </w:p>
        </w:tc>
      </w:tr>
      <w:tr>
        <w:tc>
          <w:tcPr>
            <w:tcW w:type="dxa" w:w="3402"/>
            <w:vAlign w:val="center"/>
          </w:tcPr>
          <w:p>
            <w:r>
              <w:rPr>
                <w:sz w:val="17"/>
              </w:rPr>
              <w:t>晒干与加强型甜酒 — liastos、vin doux</w:t>
            </w:r>
          </w:p>
        </w:tc>
        <w:tc>
          <w:tcPr>
            <w:tcW w:type="dxa" w:w="5953"/>
            <w:vAlign w:val="center"/>
          </w:tcPr>
          <w:p>
            <w:r>
              <w:rPr>
                <w:sz w:val="17"/>
              </w:rPr>
              <w:t>小型甜酒杯 — 紧凑，适合少量倒酒，集中甜感并控制酒精感。</w:t>
            </w:r>
          </w:p>
        </w:tc>
      </w:tr>
    </w:tbl>
    <w:p/>
    <w:p>
      <w:pPr>
        <w:pStyle w:val="Heading3"/>
      </w:pPr>
      <w:r>
        <w:rPr>
          <w:color w:val="1B1B1B"/>
        </w:rPr>
        <w:t>储存与品鉴顺序</w:t>
      </w:r>
    </w:p>
    <w:p>
      <w:pPr>
        <w:pStyle w:val="ListBullet"/>
      </w:pPr>
      <w:r>
        <w:t>储存：保持 11–14 °C 的稳定温度、60–70% 湿度；软木塞封瓶应横放，远离光线和震动。</w:t>
      </w:r>
    </w:p>
    <w:p>
      <w:pPr>
        <w:pStyle w:val="ListBullet"/>
      </w:pPr>
      <w:r>
        <w:t>品鉴顺序：由轻到重、由干到甜、由年轻到陈年——起泡酒、白葡萄酒、桃红、轻盈红葡萄酒、结构型红葡萄酒，甜酒最后。</w:t>
      </w:r>
    </w:p>
    <w:p>
      <w:pPr>
        <w:pStyle w:val="Heading3"/>
      </w:pPr>
      <w:r>
        <w:rPr>
          <w:color w:val="1B1B1B"/>
        </w:rPr>
        <w:t>品鉴的三个步骤</w:t>
      </w:r>
    </w:p>
    <w:p>
      <w:pPr>
        <w:pStyle w:val="ListBullet"/>
      </w:pPr>
      <w:r>
        <w:t>外观（όψη）：清澈度、颜色与色泽强度，以及杯缘作为酒龄线索。</w:t>
      </w:r>
    </w:p>
    <w:p>
      <w:pPr>
        <w:pStyle w:val="ListBullet"/>
      </w:pPr>
      <w:r>
        <w:t>香气（μύτη）：一类香气（葡萄本身）、二类香气（酿造过程）与三类香气（陈年发展）；并判断整体强度。</w:t>
      </w:r>
    </w:p>
    <w:p>
      <w:pPr>
        <w:pStyle w:val="ListBullet"/>
      </w:pPr>
      <w:r>
        <w:t>口感（στόμα）：甜度、酸度、单宁、酒体、风味以及余味长度。</w:t>
      </w:r>
    </w:p>
    <w:p>
      <w:r>
        <w:rPr>
          <w:b/>
          <w:color w:val="C00000"/>
        </w:rPr>
        <w:t>▸ 第二年度 — 新增 — 大师课工具</w:t>
      </w:r>
    </w:p>
    <w:p>
      <w:pPr>
        <w:pStyle w:val="Heading2"/>
      </w:pPr>
      <w:r>
        <w:rPr>
          <w:color w:val="1B1B1B"/>
        </w:rPr>
        <w:t>香气轮 — PGI 阿索斯山</w:t>
      </w:r>
    </w:p>
    <w:p>
      <w:r>
        <w:t>香气轮从中心的宽泛香气家族延伸到外圈的具体描述词，基于 PGI 品种的香气特征建立：</w:t>
      </w:r>
    </w:p>
    <w:p>
      <w:pPr>
        <w:pStyle w:val="ListBullet"/>
      </w:pPr>
      <w:r>
        <w:t>水果 → 红色水果；黑色水果；柑橘；核果；干果。</w:t>
      </w:r>
    </w:p>
    <w:p>
      <w:pPr>
        <w:pStyle w:val="ListBullet"/>
      </w:pPr>
      <w:r>
        <w:t>花香 → 玫瑰、橙花、白花、紫罗兰。</w:t>
      </w:r>
    </w:p>
    <w:p>
      <w:pPr>
        <w:pStyle w:val="ListBullet"/>
      </w:pPr>
      <w:r>
        <w:t>草本 / 植物 → 新鲜草本、青椒、番茄叶、橄榄。</w:t>
      </w:r>
    </w:p>
    <w:p>
      <w:pPr>
        <w:pStyle w:val="ListBullet"/>
      </w:pPr>
      <w:r>
        <w:t>香料 → 黑胡椒、温暖香料、甘草。</w:t>
      </w:r>
    </w:p>
    <w:p>
      <w:pPr>
        <w:pStyle w:val="ListBullet"/>
      </w:pPr>
      <w:r>
        <w:t>泥土 / 矿物 → 燧石、咸感、蘑菇、泥土。</w:t>
      </w:r>
    </w:p>
    <w:p>
      <w:pPr>
        <w:pStyle w:val="ListBullet"/>
      </w:pPr>
      <w:r>
        <w:t>橡木与陈年 → 香草、烘烤、雪松、烟草、皮革、咖啡、蜂蜜、坚果。</w:t>
      </w:r>
    </w:p>
    <w:p>
      <w:pPr>
        <w:pStyle w:val="Heading2"/>
      </w:pPr>
      <w:r>
        <w:rPr>
          <w:color w:val="1B1B1B"/>
        </w:rPr>
        <w:t>PGI 产区葡萄酒身份地图</w:t>
      </w:r>
    </w:p>
    <w:p>
      <w:r>
        <w:t>该地图展示产区——阿索斯半岛与 Ouranoupoli——包括 10–400 米海拔带、花岗岩基底上的砂壤土与砂质黏壤土、近海位置和东南朝向，并叠加说明这些条件所适宜的葡萄酒风格。</w:t>
      </w:r>
    </w:p>
    <w:p>
      <w:pPr>
        <w:pStyle w:val="Heading2"/>
      </w:pPr>
      <w:r>
        <w:rPr>
          <w:color w:val="1B1B1B"/>
        </w:rPr>
        <w:t>三语术语表</w:t>
      </w:r>
    </w:p>
    <w:p>
      <w:r>
        <w:t>建立 EN / FR / ZH 共用的统一术语表，确保各语言版本术语一致。核心术语包括：</w:t>
      </w:r>
    </w:p>
    <w:p>
      <w:pPr>
        <w:pStyle w:val="ListBullet"/>
      </w:pPr>
      <w:r>
        <w:t>产地与框架：PGI、terroir（风土）、vintage（年份）。</w:t>
      </w:r>
    </w:p>
    <w:p>
      <w:pPr>
        <w:pStyle w:val="ListBullet"/>
      </w:pPr>
      <w:r>
        <w:t>阿索斯与修道传统：Avaton、Diamonitirion、Typikon、Tragos、metochi、skete、cenobitic、Nama、nisteia、panigyri、trapeza。</w:t>
      </w:r>
    </w:p>
    <w:p>
      <w:pPr>
        <w:pStyle w:val="ListBullet"/>
      </w:pPr>
      <w:r>
        <w:t>葡萄园与酒窖：gobelet（杯状整枝）、veraison（转色期）、must（葡萄汁）、paravoutes（破碎 / 浸渍槽）、vagenia（发酵槽）、sur lie（酒泥陈酿）、malolactic fermentation（苹果酸-乳酸发酵）、skin contact（浸皮）、sulfites（亚硫酸盐）。</w:t>
      </w:r>
    </w:p>
    <w:p>
      <w:pPr>
        <w:pStyle w:val="ListBullet"/>
      </w:pPr>
      <w:r>
        <w:t>葡萄酒与风格：sun-dried / liastos（晒干葡萄酒）、fortified / vin doux（加强型甜酒）、tsipouro、organoleptic（感官特性）。</w:t>
      </w:r>
    </w:p>
    <w:p>
      <w:pPr>
        <w:pStyle w:val="Heading2"/>
      </w:pPr>
      <w:r>
        <w:rPr>
          <w:color w:val="1B1B1B"/>
        </w:rPr>
        <w:t>大师课主持人工具包</w:t>
      </w:r>
    </w:p>
    <w:p>
      <w:pPr>
        <w:pStyle w:val="ListBullet"/>
      </w:pPr>
      <w:r>
        <w:t>品鉴垫 / 餐垫：按品鉴顺序标出编号杯位、笔记区，以及简单评分尺度。</w:t>
      </w:r>
    </w:p>
    <w:p>
      <w:pPr>
        <w:pStyle w:val="ListBullet"/>
      </w:pPr>
      <w:r>
        <w:t>讲师备注：按品种提供讲解要点（风格、香气、搭配、一个“你知道吗？”知识点）并附时间安排。</w:t>
      </w:r>
    </w:p>
    <w:p>
      <w:pPr>
        <w:pStyle w:val="ListBullet"/>
      </w:pPr>
      <w:r>
        <w:t>分发资料：香气轮，以及简短的侍酒与品鉴说明页。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