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0311C"/>
          <w:sz w:val="36"/>
        </w:rPr>
        <w:t>VINS DU MONT ATHOS — Matériel pédagogique</w:t>
      </w:r>
    </w:p>
    <w:p>
      <w:pPr>
        <w:jc w:val="center"/>
      </w:pPr>
      <w:r>
        <w:rPr>
          <w:color w:val="666666"/>
          <w:sz w:val="18"/>
        </w:rPr>
        <w:t>Ajouts de l’Année 2 intégrés au livret existant. Noir = contenu existant · Rouge = ajout de l’Année 2, placé sous le chapitre correspondant.</w:t>
      </w:r>
    </w:p>
    <w:p>
      <w:pPr>
        <w:pStyle w:val="Heading1"/>
      </w:pPr>
      <w:r>
        <w:rPr>
          <w:color w:val="1B1B1B"/>
        </w:rPr>
        <w:t>Chapitre 1 — Introduction</w:t>
      </w:r>
    </w:p>
    <w:p>
      <w:r>
        <w:rPr>
          <w:b/>
          <w:i/>
          <w:color w:val="666666"/>
        </w:rPr>
        <w:t xml:space="preserve">Déjà présent dans le livret : </w:t>
      </w:r>
      <w:r>
        <w:rPr>
          <w:i/>
          <w:color w:val="666666"/>
        </w:rPr>
        <w:t>Géographie et mythologie du Mont Athos ; importance historique (références antiques, époque chrétienne, développement monastique, Typika, autonomie, période de la Seconde Guerre mondiale) ; environnement (végétation, géologie, climat).</w:t>
      </w:r>
    </w:p>
    <w:p>
      <w:r>
        <w:rPr>
          <w:i/>
          <w:color w:val="666666"/>
        </w:rPr>
        <w:t>— Aucun ajout de l’Année 2 dans ce chapitre.</w:t>
      </w:r>
    </w:p>
    <w:p>
      <w:pPr>
        <w:pStyle w:val="Heading1"/>
      </w:pPr>
      <w:r>
        <w:rPr>
          <w:color w:val="1B1B1B"/>
        </w:rPr>
        <w:t>Chapitre 2 — Importance culturelle et réalité actuelle</w:t>
      </w:r>
    </w:p>
    <w:p>
      <w:r>
        <w:rPr>
          <w:b/>
          <w:i/>
          <w:color w:val="666666"/>
        </w:rPr>
        <w:t xml:space="preserve">Déjà présent dans le livret : </w:t>
      </w:r>
      <w:r>
        <w:rPr>
          <w:i/>
          <w:color w:val="666666"/>
        </w:rPr>
        <w:t>Importance culturelle des monastères ; les 20 Saints Monastères, skites et cellules ; gouvernance (Sainte Communauté, Sainte Épistasie, Sainte Synaxe) ; patrimoine mondial de l’UNESCO ; Natura 2000 ; population et accès par diamonitirion.</w:t>
      </w:r>
    </w:p>
    <w:p>
      <w:r>
        <w:rPr>
          <w:i/>
          <w:color w:val="666666"/>
        </w:rPr>
        <w:t>— Aucun ajout de l’Année 2 dans ce chapitre.</w:t>
      </w:r>
    </w:p>
    <w:p>
      <w:pPr>
        <w:pStyle w:val="Heading1"/>
      </w:pPr>
      <w:r>
        <w:rPr>
          <w:color w:val="1B1B1B"/>
        </w:rPr>
        <w:t>Chapitre 3 — La tradition vitivinicole du Mont Athos</w:t>
      </w:r>
    </w:p>
    <w:p>
      <w:r>
        <w:rPr>
          <w:b/>
          <w:i/>
          <w:color w:val="666666"/>
        </w:rPr>
        <w:t xml:space="preserve">Déjà présent dans le livret : </w:t>
      </w:r>
      <w:r>
        <w:rPr>
          <w:i/>
          <w:color w:val="666666"/>
        </w:rPr>
        <w:t>Viticulture depuis l’Antiquité ; le Tragos et la Règle 15 (interdiction de vendre le vin au-delà de la rivière Zygos) ; périodes byzantine et ottomane ; phylloxéra (vers 1925) et renouveau des années 1980 ; pressurage des raisins (paravoutes, vagenia, rakario / tsipouro) ; contribution du vin à l’identité monastique ; identité vitivinicole du Mont Athos (cépages, vinification moderne, dimension culturelle et spirituelle).</w:t>
      </w:r>
    </w:p>
    <w:p>
      <w:r>
        <w:rPr>
          <w:b/>
          <w:color w:val="C00000"/>
        </w:rPr>
        <w:t>▸ ANNÉE 2 — NOUVEAU — une chronologie historique unique qui réunit l’histoire du Chapitre 3 en une vue synthétique</w:t>
      </w:r>
    </w:p>
    <w:p>
      <w:pPr>
        <w:pStyle w:val="Heading2"/>
      </w:pPr>
      <w:r>
        <w:rPr>
          <w:color w:val="1B1B1B"/>
        </w:rPr>
        <w:t>Chronologie historique</w:t>
      </w:r>
    </w:p>
    <w:tbl>
      <w:tblPr>
        <w:tblStyle w:val="TableGrid"/>
        <w:tblW w:type="auto" w:w="0"/>
        <w:jc w:val="center"/>
        <w:tblLook w:firstColumn="1" w:firstRow="1" w:lastColumn="0" w:lastRow="0" w:noHBand="0" w:noVBand="1" w:val="04A0"/>
      </w:tblPr>
      <w:tblGrid>
        <w:gridCol w:w="5100"/>
        <w:gridCol w:w="5100"/>
      </w:tblGrid>
      <w:tr>
        <w:tc>
          <w:tcPr>
            <w:tcW w:type="dxa" w:w="1871"/>
            <w:shd w:fill="EDE7DA"/>
            <w:vAlign w:val="center"/>
          </w:tcPr>
          <w:p>
            <w:r>
              <w:rPr>
                <w:b/>
                <w:color w:val="40311C"/>
                <w:sz w:val="17"/>
              </w:rPr>
              <w:t>Période</w:t>
            </w:r>
          </w:p>
        </w:tc>
        <w:tc>
          <w:tcPr>
            <w:tcW w:type="dxa" w:w="7654"/>
            <w:shd w:fill="EDE7DA"/>
            <w:vAlign w:val="center"/>
          </w:tcPr>
          <w:p>
            <w:r>
              <w:rPr>
                <w:b/>
                <w:color w:val="40311C"/>
                <w:sz w:val="17"/>
              </w:rPr>
              <w:t>Jalon</w:t>
            </w:r>
          </w:p>
        </w:tc>
      </w:tr>
      <w:tr>
        <w:tc>
          <w:tcPr>
            <w:tcW w:type="dxa" w:w="1871"/>
            <w:vAlign w:val="center"/>
          </w:tcPr>
          <w:p>
            <w:r>
              <w:rPr>
                <w:sz w:val="17"/>
              </w:rPr>
              <w:t>Antiquité</w:t>
            </w:r>
          </w:p>
        </w:tc>
        <w:tc>
          <w:tcPr>
            <w:tcW w:type="dxa" w:w="7654"/>
            <w:vAlign w:val="center"/>
          </w:tcPr>
          <w:p>
            <w:r>
              <w:rPr>
                <w:sz w:val="17"/>
              </w:rPr>
              <w:t>Vins renommés de Chalcidique (Mendé, Aphytis, Akanthos, Skione) ; selon la tradition, un vignoble était associé à Aristote à Stageira.</w:t>
            </w:r>
          </w:p>
        </w:tc>
      </w:tr>
      <w:tr>
        <w:tc>
          <w:tcPr>
            <w:tcW w:type="dxa" w:w="1871"/>
            <w:vAlign w:val="center"/>
          </w:tcPr>
          <w:p>
            <w:r>
              <w:rPr>
                <w:sz w:val="17"/>
              </w:rPr>
              <w:t>Xe siècle</w:t>
            </w:r>
          </w:p>
        </w:tc>
        <w:tc>
          <w:tcPr>
            <w:tcW w:type="dxa" w:w="7654"/>
            <w:vAlign w:val="center"/>
          </w:tcPr>
          <w:p>
            <w:r>
              <w:rPr>
                <w:sz w:val="17"/>
              </w:rPr>
              <w:t>Communauté monastique organisée ; presque chaque monastère possède des vignes.</w:t>
            </w:r>
          </w:p>
        </w:tc>
      </w:tr>
      <w:tr>
        <w:tc>
          <w:tcPr>
            <w:tcW w:type="dxa" w:w="1871"/>
            <w:vAlign w:val="center"/>
          </w:tcPr>
          <w:p>
            <w:r>
              <w:rPr>
                <w:sz w:val="17"/>
              </w:rPr>
              <w:t>vers 972 — le Tragos</w:t>
            </w:r>
          </w:p>
        </w:tc>
        <w:tc>
          <w:tcPr>
            <w:tcW w:type="dxa" w:w="7654"/>
            <w:vAlign w:val="center"/>
          </w:tcPr>
          <w:p>
            <w:r>
              <w:rPr>
                <w:sz w:val="17"/>
              </w:rPr>
              <w:t>Premier Typikon de l’Athos ; la Règle 15 encadre le vin et interdit sa vente au-delà de la rivière Zygos.</w:t>
            </w:r>
          </w:p>
        </w:tc>
      </w:tr>
      <w:tr>
        <w:tc>
          <w:tcPr>
            <w:tcW w:type="dxa" w:w="1871"/>
            <w:vAlign w:val="center"/>
          </w:tcPr>
          <w:p>
            <w:r>
              <w:rPr>
                <w:sz w:val="17"/>
              </w:rPr>
              <w:t>1046</w:t>
            </w:r>
          </w:p>
        </w:tc>
        <w:tc>
          <w:tcPr>
            <w:tcW w:type="dxa" w:w="7654"/>
            <w:vAlign w:val="center"/>
          </w:tcPr>
          <w:p>
            <w:r>
              <w:rPr>
                <w:sz w:val="17"/>
              </w:rPr>
              <w:t>Deuxième Typikon (Constantin IX Monomaque), réglementant les biens monastiques et le commerce.</w:t>
            </w:r>
          </w:p>
        </w:tc>
      </w:tr>
      <w:tr>
        <w:tc>
          <w:tcPr>
            <w:tcW w:type="dxa" w:w="1871"/>
            <w:vAlign w:val="center"/>
          </w:tcPr>
          <w:p>
            <w:r>
              <w:rPr>
                <w:sz w:val="17"/>
              </w:rPr>
              <w:t>Période byzantine</w:t>
            </w:r>
          </w:p>
        </w:tc>
        <w:tc>
          <w:tcPr>
            <w:tcW w:type="dxa" w:w="7654"/>
            <w:vAlign w:val="center"/>
          </w:tcPr>
          <w:p>
            <w:r>
              <w:rPr>
                <w:sz w:val="17"/>
              </w:rPr>
              <w:t>Vignobles monastiques en Macédoine orientale et en Chalcidique ; le vin est commercialisé jusqu’à Constantinople.</w:t>
            </w:r>
          </w:p>
        </w:tc>
      </w:tr>
      <w:tr>
        <w:tc>
          <w:tcPr>
            <w:tcW w:type="dxa" w:w="1871"/>
            <w:vAlign w:val="center"/>
          </w:tcPr>
          <w:p>
            <w:r>
              <w:rPr>
                <w:sz w:val="17"/>
              </w:rPr>
              <w:t>Période ottomane</w:t>
            </w:r>
          </w:p>
        </w:tc>
        <w:tc>
          <w:tcPr>
            <w:tcW w:type="dxa" w:w="7654"/>
            <w:vAlign w:val="center"/>
          </w:tcPr>
          <w:p>
            <w:r>
              <w:rPr>
                <w:sz w:val="17"/>
              </w:rPr>
              <w:t>À partir du XVIe siècle, hausse de la fiscalité et déclin.</w:t>
            </w:r>
          </w:p>
        </w:tc>
      </w:tr>
      <w:tr>
        <w:tc>
          <w:tcPr>
            <w:tcW w:type="dxa" w:w="1871"/>
            <w:vAlign w:val="center"/>
          </w:tcPr>
          <w:p>
            <w:r>
              <w:rPr>
                <w:sz w:val="17"/>
              </w:rPr>
              <w:t>1749</w:t>
            </w:r>
          </w:p>
        </w:tc>
        <w:tc>
          <w:tcPr>
            <w:tcW w:type="dxa" w:w="7654"/>
            <w:vAlign w:val="center"/>
          </w:tcPr>
          <w:p>
            <w:r>
              <w:rPr>
                <w:sz w:val="17"/>
              </w:rPr>
              <w:t>Fondation de l’Académie Athoniada au monastère de Vatopedi.</w:t>
            </w:r>
          </w:p>
        </w:tc>
      </w:tr>
      <w:tr>
        <w:tc>
          <w:tcPr>
            <w:tcW w:type="dxa" w:w="1871"/>
            <w:vAlign w:val="center"/>
          </w:tcPr>
          <w:p>
            <w:r>
              <w:rPr>
                <w:sz w:val="17"/>
              </w:rPr>
              <w:t>1821</w:t>
            </w:r>
          </w:p>
        </w:tc>
        <w:tc>
          <w:tcPr>
            <w:tcW w:type="dxa" w:w="7654"/>
            <w:vAlign w:val="center"/>
          </w:tcPr>
          <w:p>
            <w:r>
              <w:rPr>
                <w:sz w:val="17"/>
              </w:rPr>
              <w:t>Guerre d’indépendance — forte baisse de la production.</w:t>
            </w:r>
          </w:p>
        </w:tc>
      </w:tr>
      <w:tr>
        <w:tc>
          <w:tcPr>
            <w:tcW w:type="dxa" w:w="1871"/>
            <w:vAlign w:val="center"/>
          </w:tcPr>
          <w:p>
            <w:r>
              <w:rPr>
                <w:sz w:val="17"/>
              </w:rPr>
              <w:t>vers 1925</w:t>
            </w:r>
          </w:p>
        </w:tc>
        <w:tc>
          <w:tcPr>
            <w:tcW w:type="dxa" w:w="7654"/>
            <w:vAlign w:val="center"/>
          </w:tcPr>
          <w:p>
            <w:r>
              <w:rPr>
                <w:sz w:val="17"/>
              </w:rPr>
              <w:t>Le phylloxéra atteint la péninsule ; la composition variétale évolue.</w:t>
            </w:r>
          </w:p>
        </w:tc>
      </w:tr>
      <w:tr>
        <w:tc>
          <w:tcPr>
            <w:tcW w:type="dxa" w:w="1871"/>
            <w:vAlign w:val="center"/>
          </w:tcPr>
          <w:p>
            <w:r>
              <w:rPr>
                <w:sz w:val="17"/>
              </w:rPr>
              <w:t>1980</w:t>
            </w:r>
          </w:p>
        </w:tc>
        <w:tc>
          <w:tcPr>
            <w:tcW w:type="dxa" w:w="7654"/>
            <w:vAlign w:val="center"/>
          </w:tcPr>
          <w:p>
            <w:r>
              <w:rPr>
                <w:sz w:val="17"/>
              </w:rPr>
              <w:t>Une nouvelle génération de moines entreprend une replantation et une relance systématiques.</w:t>
            </w:r>
          </w:p>
        </w:tc>
      </w:tr>
      <w:tr>
        <w:tc>
          <w:tcPr>
            <w:tcW w:type="dxa" w:w="1871"/>
            <w:vAlign w:val="center"/>
          </w:tcPr>
          <w:p>
            <w:r>
              <w:rPr>
                <w:sz w:val="17"/>
              </w:rPr>
              <w:t>Aujourd’hui</w:t>
            </w:r>
          </w:p>
        </w:tc>
        <w:tc>
          <w:tcPr>
            <w:tcW w:type="dxa" w:w="7654"/>
            <w:vAlign w:val="center"/>
          </w:tcPr>
          <w:p>
            <w:r>
              <w:rPr>
                <w:sz w:val="17"/>
              </w:rPr>
              <w:t>IGP Mont Athos ; caves et metochia modernisés (p. ex. Mylopotamos, Chromitsa).</w:t>
            </w:r>
          </w:p>
        </w:tc>
      </w:tr>
    </w:tbl>
    <w:p/>
    <w:p>
      <w:pPr>
        <w:pStyle w:val="Heading1"/>
      </w:pPr>
      <w:r>
        <w:rPr>
          <w:color w:val="1B1B1B"/>
        </w:rPr>
        <w:t>Chapitre 4 — L’indication d’origine : IGP Mont Athos</w:t>
      </w:r>
    </w:p>
    <w:p>
      <w:r>
        <w:rPr>
          <w:b/>
          <w:i/>
          <w:color w:val="666666"/>
        </w:rPr>
        <w:t>Déjà présent dans le livret : La zone IGP (Mont Athos et district d’Ouranoupoli, municipalité de Stagira–Akanthos, 10–400 m) ; la liste des 16 cépages autorisés par le cahier des charges en vigueur ; les méthodes de vinification (blanc, blanc passerillé, rouge, rouge passerillé, vin de liqueur / fortifié, rosé) ; terroir, géomorphologie, microclimats et climat ; pratiques traditionnelles et modernes ; cahier des charges ; et « Les cépages » — quatre fiches de profil.</w:t>
      </w:r>
      <w:r>
        <w:rPr>
          <w:i/>
          <w:color w:val="666666"/>
        </w:rPr>
      </w:r>
    </w:p>
    <w:p>
      <w:pPr>
        <w:pStyle w:val="Heading2"/>
      </w:pPr>
      <w:r>
        <w:rPr>
          <w:color w:val="1B1B1B"/>
        </w:rPr>
        <w:t>Les cépages — fiches existantes (4)</w:t>
      </w:r>
    </w:p>
    <w:tbl>
      <w:tblPr>
        <w:tblStyle w:val="TableGrid"/>
        <w:tblW w:type="auto" w:w="0"/>
        <w:jc w:val="center"/>
        <w:tblLook w:firstColumn="1" w:firstRow="1" w:lastColumn="0" w:lastRow="0" w:noHBand="0" w:noVBand="1" w:val="04A0"/>
      </w:tblPr>
      <w:tblGrid>
        <w:gridCol w:w="1457"/>
        <w:gridCol w:w="1457"/>
        <w:gridCol w:w="1457"/>
        <w:gridCol w:w="1457"/>
        <w:gridCol w:w="1457"/>
        <w:gridCol w:w="1457"/>
        <w:gridCol w:w="1457"/>
      </w:tblGrid>
      <w:tr>
        <w:tc>
          <w:tcPr>
            <w:tcW w:type="dxa" w:w="1701"/>
            <w:shd w:fill="EDE7DA"/>
            <w:vAlign w:val="center"/>
          </w:tcPr>
          <w:p>
            <w:r>
              <w:rPr>
                <w:b/>
                <w:color w:val="40311C"/>
                <w:sz w:val="17"/>
              </w:rPr>
              <w:t>Cépage</w:t>
            </w:r>
          </w:p>
        </w:tc>
        <w:tc>
          <w:tcPr>
            <w:tcW w:type="dxa" w:w="1587"/>
            <w:shd w:fill="EDE7DA"/>
            <w:vAlign w:val="center"/>
          </w:tcPr>
          <w:p>
            <w:r>
              <w:rPr>
                <w:b/>
                <w:color w:val="40311C"/>
                <w:sz w:val="17"/>
              </w:rPr>
              <w:t>Type</w:t>
            </w:r>
          </w:p>
        </w:tc>
        <w:tc>
          <w:tcPr>
            <w:tcW w:type="dxa" w:w="1474"/>
            <w:shd w:fill="EDE7DA"/>
            <w:vAlign w:val="center"/>
          </w:tcPr>
          <w:p>
            <w:r>
              <w:rPr>
                <w:b/>
                <w:color w:val="40311C"/>
                <w:sz w:val="17"/>
              </w:rPr>
              <w:t>Couleur</w:t>
            </w:r>
          </w:p>
        </w:tc>
        <w:tc>
          <w:tcPr>
            <w:tcW w:type="dxa" w:w="2154"/>
            <w:shd w:fill="EDE7DA"/>
            <w:vAlign w:val="center"/>
          </w:tcPr>
          <w:p>
            <w:r>
              <w:rPr>
                <w:b/>
                <w:color w:val="40311C"/>
                <w:sz w:val="17"/>
              </w:rPr>
              <w:t>Acidité</w:t>
            </w:r>
          </w:p>
        </w:tc>
        <w:tc>
          <w:tcPr>
            <w:tcW w:type="dxa" w:w="1361"/>
            <w:shd w:fill="EDE7DA"/>
            <w:vAlign w:val="center"/>
          </w:tcPr>
          <w:p>
            <w:r>
              <w:rPr>
                <w:b/>
                <w:color w:val="40311C"/>
                <w:sz w:val="17"/>
              </w:rPr>
              <w:t>Arômes</w:t>
            </w:r>
          </w:p>
        </w:tc>
        <w:tc>
          <w:tcPr>
            <w:tcW w:type="dxa" w:w="2551"/>
            <w:shd w:fill="EDE7DA"/>
            <w:vAlign w:val="center"/>
          </w:tcPr>
          <w:p>
            <w:r>
              <w:rPr>
                <w:b/>
                <w:color w:val="40311C"/>
                <w:sz w:val="17"/>
              </w:rPr>
              <w:t>Tanins</w:t>
            </w:r>
          </w:p>
        </w:tc>
        <w:tc>
          <w:tcPr>
            <w:tcW w:type="dxa" w:w="1457"/>
            <w:shd w:fill="EDE7DA"/>
            <w:vAlign w:val="center"/>
          </w:tcPr>
          <w:p>
            <w:r>
              <w:rPr>
                <w:b/>
                <w:color w:val="40311C"/>
                <w:sz w:val="17"/>
              </w:rPr>
              <w:t>Élevage en bouteille</w:t>
            </w:r>
          </w:p>
        </w:tc>
      </w:tr>
      <w:tr>
        <w:tc>
          <w:tcPr>
            <w:tcW w:type="dxa" w:w="1701"/>
            <w:vAlign w:val="center"/>
          </w:tcPr>
          <w:p>
            <w:r>
              <w:rPr>
                <w:sz w:val="17"/>
              </w:rPr>
              <w:t>Muscat of Alexandria</w:t>
            </w:r>
          </w:p>
        </w:tc>
        <w:tc>
          <w:tcPr>
            <w:tcW w:type="dxa" w:w="1587"/>
            <w:vAlign w:val="center"/>
          </w:tcPr>
          <w:p>
            <w:r>
              <w:rPr>
                <w:sz w:val="17"/>
              </w:rPr>
              <w:t>Blanc</w:t>
            </w:r>
          </w:p>
        </w:tc>
        <w:tc>
          <w:tcPr>
            <w:tcW w:type="dxa" w:w="1474"/>
            <w:vAlign w:val="center"/>
          </w:tcPr>
          <w:p>
            <w:r>
              <w:rPr>
                <w:sz w:val="17"/>
              </w:rPr>
              <w:t>Intensité moyenne</w:t>
            </w:r>
          </w:p>
        </w:tc>
        <w:tc>
          <w:tcPr>
            <w:tcW w:type="dxa" w:w="2154"/>
            <w:vAlign w:val="center"/>
          </w:tcPr>
          <w:p>
            <w:r>
              <w:rPr>
                <w:sz w:val="17"/>
              </w:rPr>
              <w:t>Faible à moyenne</w:t>
            </w:r>
          </w:p>
        </w:tc>
        <w:tc>
          <w:tcPr>
            <w:tcW w:type="dxa" w:w="1361"/>
            <w:vAlign w:val="center"/>
          </w:tcPr>
          <w:p>
            <w:r>
              <w:rPr>
                <w:sz w:val="17"/>
              </w:rPr>
              <w:t>Pétales de rose, zeste d’orange, bergamote, fleurs blanches d’agrumes</w:t>
            </w:r>
          </w:p>
        </w:tc>
        <w:tc>
          <w:tcPr>
            <w:tcW w:type="dxa" w:w="2551"/>
            <w:vAlign w:val="center"/>
          </w:tcPr>
          <w:p>
            <w:r>
              <w:rPr>
                <w:sz w:val="17"/>
              </w:rPr>
              <w:t>—</w:t>
            </w:r>
          </w:p>
        </w:tc>
        <w:tc>
          <w:tcPr>
            <w:tcW w:type="dxa" w:w="1457"/>
            <w:vAlign w:val="center"/>
          </w:tcPr>
          <w:p>
            <w:r>
              <w:rPr>
                <w:sz w:val="17"/>
              </w:rPr>
              <w:t>Raisins secs, abricot sec, marmelade d’orange, rancio ; meilleur jeune en sec, fort potentiel de garde en doux</w:t>
            </w:r>
          </w:p>
        </w:tc>
      </w:tr>
      <w:tr>
        <w:tc>
          <w:tcPr>
            <w:tcW w:type="dxa" w:w="1701"/>
            <w:vAlign w:val="center"/>
          </w:tcPr>
          <w:p>
            <w:r>
              <w:rPr>
                <w:sz w:val="17"/>
              </w:rPr>
              <w:t>Limnio</w:t>
            </w:r>
          </w:p>
        </w:tc>
        <w:tc>
          <w:tcPr>
            <w:tcW w:type="dxa" w:w="1587"/>
            <w:vAlign w:val="center"/>
          </w:tcPr>
          <w:p>
            <w:r>
              <w:rPr>
                <w:sz w:val="17"/>
              </w:rPr>
              <w:t>Rouge</w:t>
            </w:r>
          </w:p>
        </w:tc>
        <w:tc>
          <w:tcPr>
            <w:tcW w:type="dxa" w:w="1474"/>
            <w:vAlign w:val="center"/>
          </w:tcPr>
          <w:p>
            <w:r>
              <w:rPr>
                <w:sz w:val="17"/>
              </w:rPr>
              <w:t>Intensité moyenne</w:t>
            </w:r>
          </w:p>
        </w:tc>
        <w:tc>
          <w:tcPr>
            <w:tcW w:type="dxa" w:w="2154"/>
            <w:vAlign w:val="center"/>
          </w:tcPr>
          <w:p>
            <w:r>
              <w:rPr>
                <w:sz w:val="17"/>
              </w:rPr>
              <w:t>Moyenne</w:t>
            </w:r>
          </w:p>
        </w:tc>
        <w:tc>
          <w:tcPr>
            <w:tcW w:type="dxa" w:w="1361"/>
            <w:vAlign w:val="center"/>
          </w:tcPr>
          <w:p>
            <w:r>
              <w:rPr>
                <w:sz w:val="17"/>
              </w:rPr>
              <w:t>Herbes fraîches, baies rouges sauvages</w:t>
            </w:r>
          </w:p>
        </w:tc>
        <w:tc>
          <w:tcPr>
            <w:tcW w:type="dxa" w:w="2551"/>
            <w:vAlign w:val="center"/>
          </w:tcPr>
          <w:p>
            <w:r>
              <w:rPr>
                <w:sz w:val="17"/>
              </w:rPr>
              <w:t>Moyenne</w:t>
            </w:r>
          </w:p>
        </w:tc>
        <w:tc>
          <w:tcPr>
            <w:tcW w:type="dxa" w:w="1457"/>
            <w:vAlign w:val="center"/>
          </w:tcPr>
          <w:p>
            <w:r>
              <w:rPr>
                <w:sz w:val="17"/>
              </w:rPr>
              <w:t>Épices, confiture de fruits rouges ; potentiel de garde moyen</w:t>
            </w:r>
          </w:p>
        </w:tc>
      </w:tr>
      <w:tr>
        <w:tc>
          <w:tcPr>
            <w:tcW w:type="dxa" w:w="1701"/>
            <w:vAlign w:val="center"/>
          </w:tcPr>
          <w:p>
            <w:r>
              <w:rPr>
                <w:sz w:val="17"/>
              </w:rPr>
              <w:t>Xinomavro</w:t>
            </w:r>
          </w:p>
        </w:tc>
        <w:tc>
          <w:tcPr>
            <w:tcW w:type="dxa" w:w="1587"/>
            <w:vAlign w:val="center"/>
          </w:tcPr>
          <w:p>
            <w:r>
              <w:rPr>
                <w:sz w:val="17"/>
              </w:rPr>
              <w:t>Rouge</w:t>
            </w:r>
          </w:p>
        </w:tc>
        <w:tc>
          <w:tcPr>
            <w:tcW w:type="dxa" w:w="1474"/>
            <w:vAlign w:val="center"/>
          </w:tcPr>
          <w:p>
            <w:r>
              <w:rPr>
                <w:sz w:val="17"/>
              </w:rPr>
              <w:t>Pâle à moyen</w:t>
            </w:r>
          </w:p>
        </w:tc>
        <w:tc>
          <w:tcPr>
            <w:tcW w:type="dxa" w:w="2154"/>
            <w:vAlign w:val="center"/>
          </w:tcPr>
          <w:p>
            <w:r>
              <w:rPr>
                <w:sz w:val="17"/>
              </w:rPr>
              <w:t>Élevée</w:t>
            </w:r>
          </w:p>
        </w:tc>
        <w:tc>
          <w:tcPr>
            <w:tcW w:type="dxa" w:w="1361"/>
            <w:vAlign w:val="center"/>
          </w:tcPr>
          <w:p>
            <w:r>
              <w:rPr>
                <w:sz w:val="17"/>
              </w:rPr>
              <w:t>Baies rouges sauvages, griotte, olive noire, tomate, chou</w:t>
            </w:r>
          </w:p>
        </w:tc>
        <w:tc>
          <w:tcPr>
            <w:tcW w:type="dxa" w:w="2551"/>
            <w:vAlign w:val="center"/>
          </w:tcPr>
          <w:p>
            <w:r>
              <w:rPr>
                <w:sz w:val="17"/>
              </w:rPr>
              <w:t>Élevés, austères</w:t>
            </w:r>
          </w:p>
        </w:tc>
        <w:tc>
          <w:tcPr>
            <w:tcW w:type="dxa" w:w="1457"/>
            <w:vAlign w:val="center"/>
          </w:tcPr>
          <w:p>
            <w:r>
              <w:rPr>
                <w:sz w:val="17"/>
              </w:rPr>
              <w:t>Évolue lentement, fort potentiel de garde ; champignon, feuilles de tabac</w:t>
            </w:r>
          </w:p>
        </w:tc>
      </w:tr>
      <w:tr>
        <w:tc>
          <w:tcPr>
            <w:tcW w:type="dxa" w:w="1701"/>
            <w:vAlign w:val="center"/>
          </w:tcPr>
          <w:p>
            <w:r>
              <w:rPr>
                <w:sz w:val="17"/>
              </w:rPr>
              <w:t>Cabernet Sauvignon</w:t>
            </w:r>
          </w:p>
        </w:tc>
        <w:tc>
          <w:tcPr>
            <w:tcW w:type="dxa" w:w="1587"/>
            <w:vAlign w:val="center"/>
          </w:tcPr>
          <w:p>
            <w:r>
              <w:rPr>
                <w:sz w:val="17"/>
              </w:rPr>
              <w:t>Rouge</w:t>
            </w:r>
          </w:p>
        </w:tc>
        <w:tc>
          <w:tcPr>
            <w:tcW w:type="dxa" w:w="1474"/>
            <w:vAlign w:val="center"/>
          </w:tcPr>
          <w:p>
            <w:r>
              <w:rPr>
                <w:sz w:val="17"/>
              </w:rPr>
              <w:t>Profond</w:t>
            </w:r>
          </w:p>
        </w:tc>
        <w:tc>
          <w:tcPr>
            <w:tcW w:type="dxa" w:w="2154"/>
            <w:vAlign w:val="center"/>
          </w:tcPr>
          <w:p>
            <w:r>
              <w:rPr>
                <w:sz w:val="17"/>
              </w:rPr>
              <w:t>Élevée</w:t>
            </w:r>
          </w:p>
        </w:tc>
        <w:tc>
          <w:tcPr>
            <w:tcW w:type="dxa" w:w="1361"/>
            <w:vAlign w:val="center"/>
          </w:tcPr>
          <w:p>
            <w:r>
              <w:rPr>
                <w:sz w:val="17"/>
              </w:rPr>
              <w:t>Cassis noir, eucalyptus, mûres</w:t>
            </w:r>
          </w:p>
        </w:tc>
        <w:tc>
          <w:tcPr>
            <w:tcW w:type="dxa" w:w="2551"/>
            <w:vAlign w:val="center"/>
          </w:tcPr>
          <w:p>
            <w:r>
              <w:rPr>
                <w:sz w:val="17"/>
              </w:rPr>
              <w:t>Élevée</w:t>
            </w:r>
          </w:p>
        </w:tc>
        <w:tc>
          <w:tcPr>
            <w:tcW w:type="dxa" w:w="1457"/>
            <w:vAlign w:val="center"/>
          </w:tcPr>
          <w:p>
            <w:r>
              <w:rPr>
                <w:sz w:val="17"/>
              </w:rPr>
              <w:t>Feuilles de tabac, champignon, notes terreuses, cuir, café ; long potentiel de garde</w:t>
            </w:r>
          </w:p>
        </w:tc>
      </w:tr>
    </w:tbl>
    <w:p/>
    <w:p>
      <w:r>
        <w:rPr>
          <w:b/>
          <w:color w:val="C00000"/>
        </w:rPr>
        <w:t>▸ ANNÉE 2 — NOUVELLES FICHES — compléter l’ensemble des 16 cépages autorisés par le cahier des charges IGP en vigueur (+ Fokiano, à titre historique)</w:t>
      </w:r>
    </w:p>
    <w:p>
      <w:pPr>
        <w:pStyle w:val="Heading2"/>
      </w:pPr>
      <w:r>
        <w:rPr>
          <w:color w:val="1B1B1B"/>
        </w:rPr>
        <w:t>Cépages rouges</w:t>
      </w:r>
    </w:p>
    <w:tbl>
      <w:tblPr>
        <w:tblStyle w:val="TableGrid"/>
        <w:tblW w:type="auto" w:w="0"/>
        <w:jc w:val="center"/>
        <w:tblLook w:firstColumn="1" w:firstRow="1" w:lastColumn="0" w:lastRow="0" w:noHBand="0" w:noVBand="1" w:val="04A0"/>
      </w:tblPr>
      <w:tblGrid>
        <w:gridCol w:w="1457"/>
        <w:gridCol w:w="1457"/>
        <w:gridCol w:w="1457"/>
        <w:gridCol w:w="1457"/>
        <w:gridCol w:w="1457"/>
        <w:gridCol w:w="1457"/>
        <w:gridCol w:w="1457"/>
      </w:tblGrid>
      <w:tr>
        <w:tc>
          <w:tcPr>
            <w:tcW w:type="dxa" w:w="1701"/>
            <w:shd w:fill="EDE7DA"/>
            <w:vAlign w:val="center"/>
          </w:tcPr>
          <w:p>
            <w:r>
              <w:rPr>
                <w:b/>
                <w:color w:val="40311C"/>
                <w:sz w:val="17"/>
              </w:rPr>
              <w:t>Cépage</w:t>
            </w:r>
          </w:p>
        </w:tc>
        <w:tc>
          <w:tcPr>
            <w:tcW w:type="dxa" w:w="1587"/>
            <w:shd w:fill="EDE7DA"/>
            <w:vAlign w:val="center"/>
          </w:tcPr>
          <w:p>
            <w:r>
              <w:rPr>
                <w:b/>
                <w:color w:val="40311C"/>
                <w:sz w:val="17"/>
              </w:rPr>
              <w:t>Type</w:t>
            </w:r>
          </w:p>
        </w:tc>
        <w:tc>
          <w:tcPr>
            <w:tcW w:type="dxa" w:w="1474"/>
            <w:shd w:fill="EDE7DA"/>
            <w:vAlign w:val="center"/>
          </w:tcPr>
          <w:p>
            <w:r>
              <w:rPr>
                <w:b/>
                <w:color w:val="40311C"/>
                <w:sz w:val="17"/>
              </w:rPr>
              <w:t>Couleur</w:t>
            </w:r>
          </w:p>
        </w:tc>
        <w:tc>
          <w:tcPr>
            <w:tcW w:type="dxa" w:w="2154"/>
            <w:shd w:fill="EDE7DA"/>
            <w:vAlign w:val="center"/>
          </w:tcPr>
          <w:p>
            <w:r>
              <w:rPr>
                <w:b/>
                <w:color w:val="40311C"/>
                <w:sz w:val="17"/>
              </w:rPr>
              <w:t>Acidité</w:t>
            </w:r>
          </w:p>
        </w:tc>
        <w:tc>
          <w:tcPr>
            <w:tcW w:type="dxa" w:w="1361"/>
            <w:shd w:fill="EDE7DA"/>
            <w:vAlign w:val="center"/>
          </w:tcPr>
          <w:p>
            <w:r>
              <w:rPr>
                <w:b/>
                <w:color w:val="40311C"/>
                <w:sz w:val="17"/>
              </w:rPr>
              <w:t>Arômes</w:t>
            </w:r>
          </w:p>
        </w:tc>
        <w:tc>
          <w:tcPr>
            <w:tcW w:type="dxa" w:w="2551"/>
            <w:shd w:fill="EDE7DA"/>
            <w:vAlign w:val="center"/>
          </w:tcPr>
          <w:p>
            <w:r>
              <w:rPr>
                <w:b/>
                <w:color w:val="40311C"/>
                <w:sz w:val="17"/>
              </w:rPr>
              <w:t>Tanins</w:t>
            </w:r>
          </w:p>
        </w:tc>
        <w:tc>
          <w:tcPr>
            <w:tcW w:type="dxa" w:w="1457"/>
            <w:shd w:fill="EDE7DA"/>
            <w:vAlign w:val="center"/>
          </w:tcPr>
          <w:p>
            <w:r>
              <w:rPr>
                <w:b/>
                <w:color w:val="40311C"/>
                <w:sz w:val="17"/>
              </w:rPr>
              <w:t>Élevage en bouteille</w:t>
            </w:r>
          </w:p>
        </w:tc>
      </w:tr>
      <w:tr>
        <w:tc>
          <w:tcPr>
            <w:tcW w:type="dxa" w:w="1701"/>
            <w:vAlign w:val="center"/>
          </w:tcPr>
          <w:p>
            <w:r>
              <w:rPr>
                <w:sz w:val="17"/>
              </w:rPr>
              <w:t>Cabernet Franc</w:t>
            </w:r>
          </w:p>
        </w:tc>
        <w:tc>
          <w:tcPr>
            <w:tcW w:type="dxa" w:w="1587"/>
            <w:vAlign w:val="center"/>
          </w:tcPr>
          <w:p>
            <w:r>
              <w:rPr>
                <w:sz w:val="17"/>
              </w:rPr>
              <w:t>Rouge · International</w:t>
            </w:r>
          </w:p>
        </w:tc>
        <w:tc>
          <w:tcPr>
            <w:tcW w:type="dxa" w:w="1474"/>
            <w:vAlign w:val="center"/>
          </w:tcPr>
          <w:p>
            <w:r>
              <w:rPr>
                <w:sz w:val="17"/>
              </w:rPr>
              <w:t>Moyenne</w:t>
            </w:r>
          </w:p>
        </w:tc>
        <w:tc>
          <w:tcPr>
            <w:tcW w:type="dxa" w:w="2154"/>
            <w:vAlign w:val="center"/>
          </w:tcPr>
          <w:p>
            <w:r>
              <w:rPr>
                <w:sz w:val="17"/>
              </w:rPr>
              <w:t>Moyenne</w:t>
            </w:r>
          </w:p>
        </w:tc>
        <w:tc>
          <w:tcPr>
            <w:tcW w:type="dxa" w:w="1361"/>
            <w:vAlign w:val="center"/>
          </w:tcPr>
          <w:p>
            <w:r>
              <w:rPr>
                <w:sz w:val="17"/>
              </w:rPr>
              <w:t>Framboise, groseille rouge, notes feuillues / poivron vert, violette</w:t>
            </w:r>
          </w:p>
        </w:tc>
        <w:tc>
          <w:tcPr>
            <w:tcW w:type="dxa" w:w="2551"/>
            <w:vAlign w:val="center"/>
          </w:tcPr>
          <w:p>
            <w:r>
              <w:rPr>
                <w:sz w:val="17"/>
              </w:rPr>
              <w:t>Moyens, fins</w:t>
            </w:r>
          </w:p>
        </w:tc>
        <w:tc>
          <w:tcPr>
            <w:tcW w:type="dxa" w:w="1457"/>
            <w:vAlign w:val="center"/>
          </w:tcPr>
          <w:p>
            <w:r>
              <w:rPr>
                <w:sz w:val="17"/>
              </w:rPr>
              <w:t>Cèdre, graphite, mine de crayon ; potentiel de garde moyen</w:t>
            </w:r>
          </w:p>
        </w:tc>
      </w:tr>
      <w:tr>
        <w:tc>
          <w:tcPr>
            <w:tcW w:type="dxa" w:w="1701"/>
            <w:vAlign w:val="center"/>
          </w:tcPr>
          <w:p>
            <w:r>
              <w:rPr>
                <w:sz w:val="17"/>
              </w:rPr>
              <w:t>Syrah</w:t>
            </w:r>
          </w:p>
        </w:tc>
        <w:tc>
          <w:tcPr>
            <w:tcW w:type="dxa" w:w="1587"/>
            <w:vAlign w:val="center"/>
          </w:tcPr>
          <w:p>
            <w:r>
              <w:rPr>
                <w:sz w:val="17"/>
              </w:rPr>
              <w:t>Rouge · International</w:t>
            </w:r>
          </w:p>
        </w:tc>
        <w:tc>
          <w:tcPr>
            <w:tcW w:type="dxa" w:w="1474"/>
            <w:vAlign w:val="center"/>
          </w:tcPr>
          <w:p>
            <w:r>
              <w:rPr>
                <w:sz w:val="17"/>
              </w:rPr>
              <w:t>Profond</w:t>
            </w:r>
          </w:p>
        </w:tc>
        <w:tc>
          <w:tcPr>
            <w:tcW w:type="dxa" w:w="2154"/>
            <w:vAlign w:val="center"/>
          </w:tcPr>
          <w:p>
            <w:r>
              <w:rPr>
                <w:sz w:val="17"/>
              </w:rPr>
              <w:t>Moyenne</w:t>
            </w:r>
          </w:p>
        </w:tc>
        <w:tc>
          <w:tcPr>
            <w:tcW w:type="dxa" w:w="1361"/>
            <w:vAlign w:val="center"/>
          </w:tcPr>
          <w:p>
            <w:r>
              <w:rPr>
                <w:sz w:val="17"/>
              </w:rPr>
              <w:t>Mûre, cassis, poivre noir, violette</w:t>
            </w:r>
          </w:p>
        </w:tc>
        <w:tc>
          <w:tcPr>
            <w:tcW w:type="dxa" w:w="2551"/>
            <w:vAlign w:val="center"/>
          </w:tcPr>
          <w:p>
            <w:r>
              <w:rPr>
                <w:sz w:val="17"/>
              </w:rPr>
              <w:t>Élevée</w:t>
            </w:r>
          </w:p>
        </w:tc>
        <w:tc>
          <w:tcPr>
            <w:tcW w:type="dxa" w:w="1457"/>
            <w:vAlign w:val="center"/>
          </w:tcPr>
          <w:p>
            <w:r>
              <w:rPr>
                <w:sz w:val="17"/>
              </w:rPr>
              <w:t>Viande fumée, cuir, olive, épices ; fort potentiel de garde</w:t>
            </w:r>
          </w:p>
        </w:tc>
      </w:tr>
      <w:tr>
        <w:tc>
          <w:tcPr>
            <w:tcW w:type="dxa" w:w="1701"/>
            <w:vAlign w:val="center"/>
          </w:tcPr>
          <w:p>
            <w:r>
              <w:rPr>
                <w:sz w:val="17"/>
              </w:rPr>
              <w:t>Merlot</w:t>
            </w:r>
          </w:p>
        </w:tc>
        <w:tc>
          <w:tcPr>
            <w:tcW w:type="dxa" w:w="1587"/>
            <w:vAlign w:val="center"/>
          </w:tcPr>
          <w:p>
            <w:r>
              <w:rPr>
                <w:sz w:val="17"/>
              </w:rPr>
              <w:t>Rouge · International</w:t>
            </w:r>
          </w:p>
        </w:tc>
        <w:tc>
          <w:tcPr>
            <w:tcW w:type="dxa" w:w="1474"/>
            <w:vAlign w:val="center"/>
          </w:tcPr>
          <w:p>
            <w:r>
              <w:rPr>
                <w:sz w:val="17"/>
              </w:rPr>
              <w:t>Moyen à profond</w:t>
            </w:r>
          </w:p>
        </w:tc>
        <w:tc>
          <w:tcPr>
            <w:tcW w:type="dxa" w:w="2154"/>
            <w:vAlign w:val="center"/>
          </w:tcPr>
          <w:p>
            <w:r>
              <w:rPr>
                <w:sz w:val="17"/>
              </w:rPr>
              <w:t>Moyenne</w:t>
            </w:r>
          </w:p>
        </w:tc>
        <w:tc>
          <w:tcPr>
            <w:tcW w:type="dxa" w:w="1361"/>
            <w:vAlign w:val="center"/>
          </w:tcPr>
          <w:p>
            <w:r>
              <w:rPr>
                <w:sz w:val="17"/>
              </w:rPr>
              <w:t>Prune, cerise noire, cacao</w:t>
            </w:r>
          </w:p>
        </w:tc>
        <w:tc>
          <w:tcPr>
            <w:tcW w:type="dxa" w:w="2551"/>
            <w:vAlign w:val="center"/>
          </w:tcPr>
          <w:p>
            <w:r>
              <w:rPr>
                <w:sz w:val="17"/>
              </w:rPr>
              <w:t>Moyens, souples</w:t>
            </w:r>
          </w:p>
        </w:tc>
        <w:tc>
          <w:tcPr>
            <w:tcW w:type="dxa" w:w="1457"/>
            <w:vAlign w:val="center"/>
          </w:tcPr>
          <w:p>
            <w:r>
              <w:rPr>
                <w:sz w:val="17"/>
              </w:rPr>
              <w:t>Cake aux fruits, cacao, tabac ; potentiel de garde moyen</w:t>
            </w:r>
          </w:p>
        </w:tc>
      </w:tr>
      <w:tr>
        <w:tc>
          <w:tcPr>
            <w:tcW w:type="dxa" w:w="1701"/>
            <w:vAlign w:val="center"/>
          </w:tcPr>
          <w:p>
            <w:r>
              <w:rPr>
                <w:sz w:val="17"/>
              </w:rPr>
              <w:t>Grenache Rouge</w:t>
            </w:r>
          </w:p>
        </w:tc>
        <w:tc>
          <w:tcPr>
            <w:tcW w:type="dxa" w:w="1587"/>
            <w:vAlign w:val="center"/>
          </w:tcPr>
          <w:p>
            <w:r>
              <w:rPr>
                <w:sz w:val="17"/>
              </w:rPr>
              <w:t>Rouge · International</w:t>
            </w:r>
          </w:p>
        </w:tc>
        <w:tc>
          <w:tcPr>
            <w:tcW w:type="dxa" w:w="1474"/>
            <w:vAlign w:val="center"/>
          </w:tcPr>
          <w:p>
            <w:r>
              <w:rPr>
                <w:sz w:val="17"/>
              </w:rPr>
              <w:t>Moyenne</w:t>
            </w:r>
          </w:p>
        </w:tc>
        <w:tc>
          <w:tcPr>
            <w:tcW w:type="dxa" w:w="2154"/>
            <w:vAlign w:val="center"/>
          </w:tcPr>
          <w:p>
            <w:r>
              <w:rPr>
                <w:sz w:val="17"/>
              </w:rPr>
              <w:t>Faible à moyenne</w:t>
            </w:r>
          </w:p>
        </w:tc>
        <w:tc>
          <w:tcPr>
            <w:tcW w:type="dxa" w:w="1361"/>
            <w:vAlign w:val="center"/>
          </w:tcPr>
          <w:p>
            <w:r>
              <w:rPr>
                <w:sz w:val="17"/>
              </w:rPr>
              <w:t>Fraise, framboise, poivre blanc, herbes séchées</w:t>
            </w:r>
          </w:p>
        </w:tc>
        <w:tc>
          <w:tcPr>
            <w:tcW w:type="dxa" w:w="2551"/>
            <w:vAlign w:val="center"/>
          </w:tcPr>
          <w:p>
            <w:r>
              <w:rPr>
                <w:sz w:val="17"/>
              </w:rPr>
              <w:t>Moyens, souples</w:t>
            </w:r>
          </w:p>
        </w:tc>
        <w:tc>
          <w:tcPr>
            <w:tcW w:type="dxa" w:w="1457"/>
            <w:vAlign w:val="center"/>
          </w:tcPr>
          <w:p>
            <w:r>
              <w:rPr>
                <w:sz w:val="17"/>
              </w:rPr>
              <w:t>Figue, cuir, épices chaudes ; potentiel de garde moyen</w:t>
            </w:r>
          </w:p>
        </w:tc>
      </w:tr>
      <w:tr>
        <w:tc>
          <w:tcPr>
            <w:tcW w:type="dxa" w:w="1701"/>
            <w:vAlign w:val="center"/>
          </w:tcPr>
          <w:p>
            <w:r>
              <w:rPr>
                <w:sz w:val="17"/>
              </w:rPr>
              <w:t>Muscat Hamburg</w:t>
            </w:r>
          </w:p>
        </w:tc>
        <w:tc>
          <w:tcPr>
            <w:tcW w:type="dxa" w:w="1587"/>
            <w:vAlign w:val="center"/>
          </w:tcPr>
          <w:p>
            <w:r>
              <w:rPr>
                <w:sz w:val="17"/>
              </w:rPr>
              <w:t>Rouge / léger · International (aromatique ; raisin de table et de cuve)</w:t>
            </w:r>
          </w:p>
        </w:tc>
        <w:tc>
          <w:tcPr>
            <w:tcW w:type="dxa" w:w="1474"/>
            <w:vAlign w:val="center"/>
          </w:tcPr>
          <w:p>
            <w:r>
              <w:rPr>
                <w:sz w:val="17"/>
              </w:rPr>
              <w:t>Clair à moyen</w:t>
            </w:r>
          </w:p>
        </w:tc>
        <w:tc>
          <w:tcPr>
            <w:tcW w:type="dxa" w:w="2154"/>
            <w:vAlign w:val="center"/>
          </w:tcPr>
          <w:p>
            <w:r>
              <w:rPr>
                <w:sz w:val="17"/>
              </w:rPr>
              <w:t>Moyenne</w:t>
            </w:r>
          </w:p>
        </w:tc>
        <w:tc>
          <w:tcPr>
            <w:tcW w:type="dxa" w:w="1361"/>
            <w:vAlign w:val="center"/>
          </w:tcPr>
          <w:p>
            <w:r>
              <w:rPr>
                <w:sz w:val="17"/>
              </w:rPr>
              <w:t>Raisin frais / muscat, rose, fruits rouges frais</w:t>
            </w:r>
          </w:p>
        </w:tc>
        <w:tc>
          <w:tcPr>
            <w:tcW w:type="dxa" w:w="2551"/>
            <w:vAlign w:val="center"/>
          </w:tcPr>
          <w:p>
            <w:r>
              <w:rPr>
                <w:sz w:val="17"/>
              </w:rPr>
              <w:t>Faibles</w:t>
            </w:r>
          </w:p>
        </w:tc>
        <w:tc>
          <w:tcPr>
            <w:tcW w:type="dxa" w:w="1457"/>
            <w:vAlign w:val="center"/>
          </w:tcPr>
          <w:p>
            <w:r>
              <w:rPr>
                <w:sz w:val="17"/>
              </w:rPr>
              <w:t>Meilleur jeune et frais ; faible potentiel de garde</w:t>
            </w:r>
          </w:p>
        </w:tc>
      </w:tr>
      <w:tr>
        <w:tc>
          <w:tcPr>
            <w:tcW w:type="dxa" w:w="1701"/>
            <w:vAlign w:val="center"/>
          </w:tcPr>
          <w:p>
            <w:r>
              <w:rPr>
                <w:sz w:val="17"/>
              </w:rPr>
              <w:t>Fokiano</w:t>
            </w:r>
          </w:p>
        </w:tc>
        <w:tc>
          <w:tcPr>
            <w:tcW w:type="dxa" w:w="1587"/>
            <w:vAlign w:val="center"/>
          </w:tcPr>
          <w:p>
            <w:r>
              <w:rPr>
                <w:sz w:val="17"/>
              </w:rPr>
              <w:t>Rouge · Grec, autochtone — cultivé dans la région mais non inclus parmi les 16 cépages autorisés par le cahier des charges IGP en vigueur</w:t>
            </w:r>
          </w:p>
        </w:tc>
        <w:tc>
          <w:tcPr>
            <w:tcW w:type="dxa" w:w="1474"/>
            <w:vAlign w:val="center"/>
          </w:tcPr>
          <w:p>
            <w:r>
              <w:rPr>
                <w:sz w:val="17"/>
              </w:rPr>
              <w:t>Clair à moyen</w:t>
            </w:r>
          </w:p>
        </w:tc>
        <w:tc>
          <w:tcPr>
            <w:tcW w:type="dxa" w:w="2154"/>
            <w:vAlign w:val="center"/>
          </w:tcPr>
          <w:p>
            <w:r>
              <w:rPr>
                <w:sz w:val="17"/>
              </w:rPr>
              <w:t>Moyenne</w:t>
            </w:r>
          </w:p>
        </w:tc>
        <w:tc>
          <w:tcPr>
            <w:tcW w:type="dxa" w:w="1361"/>
            <w:vAlign w:val="center"/>
          </w:tcPr>
          <w:p>
            <w:r>
              <w:rPr>
                <w:sz w:val="17"/>
              </w:rPr>
              <w:t>Cerise éclatante, groseille rouge, épices légères</w:t>
            </w:r>
          </w:p>
        </w:tc>
        <w:tc>
          <w:tcPr>
            <w:tcW w:type="dxa" w:w="2551"/>
            <w:vAlign w:val="center"/>
          </w:tcPr>
          <w:p>
            <w:r>
              <w:rPr>
                <w:sz w:val="17"/>
              </w:rPr>
              <w:t>Faible à moyenne</w:t>
            </w:r>
          </w:p>
        </w:tc>
        <w:tc>
          <w:tcPr>
            <w:tcW w:type="dxa" w:w="1457"/>
            <w:vAlign w:val="center"/>
          </w:tcPr>
          <w:p>
            <w:r>
              <w:rPr>
                <w:sz w:val="17"/>
              </w:rPr>
              <w:t>Meilleur jeune ; potentiel de garde faible à moyen</w:t>
            </w:r>
          </w:p>
        </w:tc>
      </w:tr>
    </w:tbl>
    <w:p/>
    <w:p>
      <w:pPr>
        <w:pStyle w:val="Heading2"/>
      </w:pPr>
      <w:r>
        <w:rPr>
          <w:color w:val="1B1B1B"/>
        </w:rPr>
        <w:t>Cépages blancs</w:t>
      </w:r>
    </w:p>
    <w:tbl>
      <w:tblPr>
        <w:tblStyle w:val="TableGrid"/>
        <w:tblW w:type="auto" w:w="0"/>
        <w:jc w:val="center"/>
        <w:tblLook w:firstColumn="1" w:firstRow="1" w:lastColumn="0" w:lastRow="0" w:noHBand="0" w:noVBand="1" w:val="04A0"/>
      </w:tblPr>
      <w:tblGrid>
        <w:gridCol w:w="1457"/>
        <w:gridCol w:w="1457"/>
        <w:gridCol w:w="1457"/>
        <w:gridCol w:w="1457"/>
        <w:gridCol w:w="1457"/>
        <w:gridCol w:w="1457"/>
        <w:gridCol w:w="1457"/>
      </w:tblGrid>
      <w:tr>
        <w:tc>
          <w:tcPr>
            <w:tcW w:type="dxa" w:w="1701"/>
            <w:shd w:fill="EDE7DA"/>
            <w:vAlign w:val="center"/>
          </w:tcPr>
          <w:p>
            <w:r>
              <w:rPr>
                <w:b/>
                <w:color w:val="40311C"/>
                <w:sz w:val="17"/>
              </w:rPr>
              <w:t>Cépage</w:t>
            </w:r>
          </w:p>
        </w:tc>
        <w:tc>
          <w:tcPr>
            <w:tcW w:type="dxa" w:w="1587"/>
            <w:shd w:fill="EDE7DA"/>
            <w:vAlign w:val="center"/>
          </w:tcPr>
          <w:p>
            <w:r>
              <w:rPr>
                <w:b/>
                <w:color w:val="40311C"/>
                <w:sz w:val="17"/>
              </w:rPr>
              <w:t>Type</w:t>
            </w:r>
          </w:p>
        </w:tc>
        <w:tc>
          <w:tcPr>
            <w:tcW w:type="dxa" w:w="1474"/>
            <w:shd w:fill="EDE7DA"/>
            <w:vAlign w:val="center"/>
          </w:tcPr>
          <w:p>
            <w:r>
              <w:rPr>
                <w:b/>
                <w:color w:val="40311C"/>
                <w:sz w:val="17"/>
              </w:rPr>
              <w:t>Couleur</w:t>
            </w:r>
          </w:p>
        </w:tc>
        <w:tc>
          <w:tcPr>
            <w:tcW w:type="dxa" w:w="2154"/>
            <w:shd w:fill="EDE7DA"/>
            <w:vAlign w:val="center"/>
          </w:tcPr>
          <w:p>
            <w:r>
              <w:rPr>
                <w:b/>
                <w:color w:val="40311C"/>
                <w:sz w:val="17"/>
              </w:rPr>
              <w:t>Acidité</w:t>
            </w:r>
          </w:p>
        </w:tc>
        <w:tc>
          <w:tcPr>
            <w:tcW w:type="dxa" w:w="1361"/>
            <w:shd w:fill="EDE7DA"/>
            <w:vAlign w:val="center"/>
          </w:tcPr>
          <w:p>
            <w:r>
              <w:rPr>
                <w:b/>
                <w:color w:val="40311C"/>
                <w:sz w:val="17"/>
              </w:rPr>
              <w:t>Arômes</w:t>
            </w:r>
          </w:p>
        </w:tc>
        <w:tc>
          <w:tcPr>
            <w:tcW w:type="dxa" w:w="2551"/>
            <w:shd w:fill="EDE7DA"/>
            <w:vAlign w:val="center"/>
          </w:tcPr>
          <w:p>
            <w:r>
              <w:rPr>
                <w:b/>
                <w:color w:val="40311C"/>
                <w:sz w:val="17"/>
              </w:rPr>
              <w:t>Tanins</w:t>
            </w:r>
          </w:p>
        </w:tc>
        <w:tc>
          <w:tcPr>
            <w:tcW w:type="dxa" w:w="1457"/>
            <w:shd w:fill="EDE7DA"/>
            <w:vAlign w:val="center"/>
          </w:tcPr>
          <w:p>
            <w:r>
              <w:rPr>
                <w:b/>
                <w:color w:val="40311C"/>
                <w:sz w:val="17"/>
              </w:rPr>
              <w:t>Élevage en bouteille</w:t>
            </w:r>
          </w:p>
        </w:tc>
      </w:tr>
      <w:tr>
        <w:tc>
          <w:tcPr>
            <w:tcW w:type="dxa" w:w="1701"/>
            <w:vAlign w:val="center"/>
          </w:tcPr>
          <w:p>
            <w:r>
              <w:rPr>
                <w:sz w:val="17"/>
              </w:rPr>
              <w:t>Assyrtiko</w:t>
            </w:r>
          </w:p>
        </w:tc>
        <w:tc>
          <w:tcPr>
            <w:tcW w:type="dxa" w:w="1587"/>
            <w:vAlign w:val="center"/>
          </w:tcPr>
          <w:p>
            <w:r>
              <w:rPr>
                <w:sz w:val="17"/>
              </w:rPr>
              <w:t>Blanc · Grec</w:t>
            </w:r>
          </w:p>
        </w:tc>
        <w:tc>
          <w:tcPr>
            <w:tcW w:type="dxa" w:w="1474"/>
            <w:vAlign w:val="center"/>
          </w:tcPr>
          <w:p>
            <w:r>
              <w:rPr>
                <w:sz w:val="17"/>
              </w:rPr>
              <w:t>Pâle, jaune-vert</w:t>
            </w:r>
          </w:p>
        </w:tc>
        <w:tc>
          <w:tcPr>
            <w:tcW w:type="dxa" w:w="2154"/>
            <w:vAlign w:val="center"/>
          </w:tcPr>
          <w:p>
            <w:r>
              <w:rPr>
                <w:sz w:val="17"/>
              </w:rPr>
              <w:t>Élevée</w:t>
            </w:r>
          </w:p>
        </w:tc>
        <w:tc>
          <w:tcPr>
            <w:tcW w:type="dxa" w:w="1361"/>
            <w:vAlign w:val="center"/>
          </w:tcPr>
          <w:p>
            <w:r>
              <w:rPr>
                <w:sz w:val="17"/>
              </w:rPr>
              <w:t>Citron / agrumes, silex, minéral, salin</w:t>
            </w:r>
          </w:p>
        </w:tc>
        <w:tc>
          <w:tcPr>
            <w:tcW w:type="dxa" w:w="2551"/>
            <w:vAlign w:val="center"/>
          </w:tcPr>
          <w:p>
            <w:r>
              <w:rPr>
                <w:sz w:val="17"/>
              </w:rPr>
              <w:t>—</w:t>
            </w:r>
          </w:p>
        </w:tc>
        <w:tc>
          <w:tcPr>
            <w:tcW w:type="dxa" w:w="1457"/>
            <w:vAlign w:val="center"/>
          </w:tcPr>
          <w:p>
            <w:r>
              <w:rPr>
                <w:sz w:val="17"/>
              </w:rPr>
              <w:t>Mielleux, cireux, fruits à coque ; fort potentiel de garde (rare pour un blanc)</w:t>
            </w:r>
          </w:p>
        </w:tc>
      </w:tr>
      <w:tr>
        <w:tc>
          <w:tcPr>
            <w:tcW w:type="dxa" w:w="1701"/>
            <w:vAlign w:val="center"/>
          </w:tcPr>
          <w:p>
            <w:r>
              <w:rPr>
                <w:sz w:val="17"/>
              </w:rPr>
              <w:t>Athiri</w:t>
            </w:r>
          </w:p>
        </w:tc>
        <w:tc>
          <w:tcPr>
            <w:tcW w:type="dxa" w:w="1587"/>
            <w:vAlign w:val="center"/>
          </w:tcPr>
          <w:p>
            <w:r>
              <w:rPr>
                <w:sz w:val="17"/>
              </w:rPr>
              <w:t>Blanc · Grec</w:t>
            </w:r>
          </w:p>
        </w:tc>
        <w:tc>
          <w:tcPr>
            <w:tcW w:type="dxa" w:w="1474"/>
            <w:vAlign w:val="center"/>
          </w:tcPr>
          <w:p>
            <w:r>
              <w:rPr>
                <w:sz w:val="17"/>
              </w:rPr>
              <w:t>Pâle</w:t>
            </w:r>
          </w:p>
        </w:tc>
        <w:tc>
          <w:tcPr>
            <w:tcW w:type="dxa" w:w="2154"/>
            <w:vAlign w:val="center"/>
          </w:tcPr>
          <w:p>
            <w:r>
              <w:rPr>
                <w:sz w:val="17"/>
              </w:rPr>
              <w:t>Moyenne</w:t>
            </w:r>
          </w:p>
        </w:tc>
        <w:tc>
          <w:tcPr>
            <w:tcW w:type="dxa" w:w="1361"/>
            <w:vAlign w:val="center"/>
          </w:tcPr>
          <w:p>
            <w:r>
              <w:rPr>
                <w:sz w:val="17"/>
              </w:rPr>
              <w:t>Agrumes, fleurs blanches, pêche délicate</w:t>
            </w:r>
          </w:p>
        </w:tc>
        <w:tc>
          <w:tcPr>
            <w:tcW w:type="dxa" w:w="2551"/>
            <w:vAlign w:val="center"/>
          </w:tcPr>
          <w:p>
            <w:r>
              <w:rPr>
                <w:sz w:val="17"/>
              </w:rPr>
              <w:t>—</w:t>
            </w:r>
          </w:p>
        </w:tc>
        <w:tc>
          <w:tcPr>
            <w:tcW w:type="dxa" w:w="1457"/>
            <w:vAlign w:val="center"/>
          </w:tcPr>
          <w:p>
            <w:r>
              <w:rPr>
                <w:sz w:val="17"/>
              </w:rPr>
              <w:t>Meilleur jeune et frais ; faible potentiel de garde</w:t>
            </w:r>
          </w:p>
        </w:tc>
      </w:tr>
      <w:tr>
        <w:tc>
          <w:tcPr>
            <w:tcW w:type="dxa" w:w="1701"/>
            <w:vAlign w:val="center"/>
          </w:tcPr>
          <w:p>
            <w:r>
              <w:rPr>
                <w:sz w:val="17"/>
              </w:rPr>
              <w:t>Roditis</w:t>
            </w:r>
          </w:p>
        </w:tc>
        <w:tc>
          <w:tcPr>
            <w:tcW w:type="dxa" w:w="1587"/>
            <w:vAlign w:val="center"/>
          </w:tcPr>
          <w:p>
            <w:r>
              <w:rPr>
                <w:sz w:val="17"/>
              </w:rPr>
              <w:t>Blanc (peau rosée) · Grec</w:t>
            </w:r>
          </w:p>
        </w:tc>
        <w:tc>
          <w:tcPr>
            <w:tcW w:type="dxa" w:w="1474"/>
            <w:vAlign w:val="center"/>
          </w:tcPr>
          <w:p>
            <w:r>
              <w:rPr>
                <w:sz w:val="17"/>
              </w:rPr>
              <w:t>Pâle, légère nuance cuivrée</w:t>
            </w:r>
          </w:p>
        </w:tc>
        <w:tc>
          <w:tcPr>
            <w:tcW w:type="dxa" w:w="2154"/>
            <w:vAlign w:val="center"/>
          </w:tcPr>
          <w:p>
            <w:r>
              <w:rPr>
                <w:sz w:val="17"/>
              </w:rPr>
              <w:t>Moyenne à élevée</w:t>
            </w:r>
          </w:p>
        </w:tc>
        <w:tc>
          <w:tcPr>
            <w:tcW w:type="dxa" w:w="1361"/>
            <w:vAlign w:val="center"/>
          </w:tcPr>
          <w:p>
            <w:r>
              <w:rPr>
                <w:sz w:val="17"/>
              </w:rPr>
              <w:t>Agrumes, melon, notes florales légères</w:t>
            </w:r>
          </w:p>
        </w:tc>
        <w:tc>
          <w:tcPr>
            <w:tcW w:type="dxa" w:w="2551"/>
            <w:vAlign w:val="center"/>
          </w:tcPr>
          <w:p>
            <w:r>
              <w:rPr>
                <w:sz w:val="17"/>
              </w:rPr>
              <w:t>—</w:t>
            </w:r>
          </w:p>
        </w:tc>
        <w:tc>
          <w:tcPr>
            <w:tcW w:type="dxa" w:w="1457"/>
            <w:vAlign w:val="center"/>
          </w:tcPr>
          <w:p>
            <w:r>
              <w:rPr>
                <w:sz w:val="17"/>
              </w:rPr>
              <w:t>À boire jeune ; faible potentiel de garde</w:t>
            </w:r>
          </w:p>
        </w:tc>
      </w:tr>
      <w:tr>
        <w:tc>
          <w:tcPr>
            <w:tcW w:type="dxa" w:w="1701"/>
            <w:vAlign w:val="center"/>
          </w:tcPr>
          <w:p>
            <w:r>
              <w:rPr>
                <w:sz w:val="17"/>
              </w:rPr>
              <w:t>Chardonnay</w:t>
            </w:r>
          </w:p>
        </w:tc>
        <w:tc>
          <w:tcPr>
            <w:tcW w:type="dxa" w:w="1587"/>
            <w:vAlign w:val="center"/>
          </w:tcPr>
          <w:p>
            <w:r>
              <w:rPr>
                <w:sz w:val="17"/>
              </w:rPr>
              <w:t>Blanc · International</w:t>
            </w:r>
          </w:p>
        </w:tc>
        <w:tc>
          <w:tcPr>
            <w:tcW w:type="dxa" w:w="1474"/>
            <w:vAlign w:val="center"/>
          </w:tcPr>
          <w:p>
            <w:r>
              <w:rPr>
                <w:sz w:val="17"/>
              </w:rPr>
              <w:t>Pâle à doré (si élevé sous bois)</w:t>
            </w:r>
          </w:p>
        </w:tc>
        <w:tc>
          <w:tcPr>
            <w:tcW w:type="dxa" w:w="2154"/>
            <w:vAlign w:val="center"/>
          </w:tcPr>
          <w:p>
            <w:r>
              <w:rPr>
                <w:sz w:val="17"/>
              </w:rPr>
              <w:t>Moyenne</w:t>
            </w:r>
          </w:p>
        </w:tc>
        <w:tc>
          <w:tcPr>
            <w:tcW w:type="dxa" w:w="1361"/>
            <w:vAlign w:val="center"/>
          </w:tcPr>
          <w:p>
            <w:r>
              <w:rPr>
                <w:sz w:val="17"/>
              </w:rPr>
              <w:t>Agrumes, pomme, poire (sans bois) ; beurre, vanille, toast (élevé sous bois)</w:t>
            </w:r>
          </w:p>
        </w:tc>
        <w:tc>
          <w:tcPr>
            <w:tcW w:type="dxa" w:w="2551"/>
            <w:vAlign w:val="center"/>
          </w:tcPr>
          <w:p>
            <w:r>
              <w:rPr>
                <w:sz w:val="17"/>
              </w:rPr>
              <w:t>—</w:t>
            </w:r>
          </w:p>
        </w:tc>
        <w:tc>
          <w:tcPr>
            <w:tcW w:type="dxa" w:w="1457"/>
            <w:vAlign w:val="center"/>
          </w:tcPr>
          <w:p>
            <w:r>
              <w:rPr>
                <w:sz w:val="17"/>
              </w:rPr>
              <w:t>Fruits à coque, notes miellées dans le style boisé ; potentiel de garde moyen</w:t>
            </w:r>
          </w:p>
        </w:tc>
      </w:tr>
      <w:tr>
        <w:tc>
          <w:tcPr>
            <w:tcW w:type="dxa" w:w="1701"/>
            <w:vAlign w:val="center"/>
          </w:tcPr>
          <w:p>
            <w:r>
              <w:rPr>
                <w:sz w:val="17"/>
              </w:rPr>
              <w:t>Sauvignon Blanc</w:t>
            </w:r>
          </w:p>
        </w:tc>
        <w:tc>
          <w:tcPr>
            <w:tcW w:type="dxa" w:w="1587"/>
            <w:vAlign w:val="center"/>
          </w:tcPr>
          <w:p>
            <w:r>
              <w:rPr>
                <w:sz w:val="17"/>
              </w:rPr>
              <w:t>Blanc · International</w:t>
            </w:r>
          </w:p>
        </w:tc>
        <w:tc>
          <w:tcPr>
            <w:tcW w:type="dxa" w:w="1474"/>
            <w:vAlign w:val="center"/>
          </w:tcPr>
          <w:p>
            <w:r>
              <w:rPr>
                <w:sz w:val="17"/>
              </w:rPr>
              <w:t>Pâle, jaune-vert</w:t>
            </w:r>
          </w:p>
        </w:tc>
        <w:tc>
          <w:tcPr>
            <w:tcW w:type="dxa" w:w="2154"/>
            <w:vAlign w:val="center"/>
          </w:tcPr>
          <w:p>
            <w:r>
              <w:rPr>
                <w:sz w:val="17"/>
              </w:rPr>
              <w:t>Élevée</w:t>
            </w:r>
          </w:p>
        </w:tc>
        <w:tc>
          <w:tcPr>
            <w:tcW w:type="dxa" w:w="1361"/>
            <w:vAlign w:val="center"/>
          </w:tcPr>
          <w:p>
            <w:r>
              <w:rPr>
                <w:sz w:val="17"/>
              </w:rPr>
              <w:t>Agrumes, herbes vertes, groseille à maquereau, pomme verte</w:t>
            </w:r>
          </w:p>
        </w:tc>
        <w:tc>
          <w:tcPr>
            <w:tcW w:type="dxa" w:w="2551"/>
            <w:vAlign w:val="center"/>
          </w:tcPr>
          <w:p>
            <w:r>
              <w:rPr>
                <w:sz w:val="17"/>
              </w:rPr>
              <w:t>—</w:t>
            </w:r>
          </w:p>
        </w:tc>
        <w:tc>
          <w:tcPr>
            <w:tcW w:type="dxa" w:w="1457"/>
            <w:vAlign w:val="center"/>
          </w:tcPr>
          <w:p>
            <w:r>
              <w:rPr>
                <w:sz w:val="17"/>
              </w:rPr>
              <w:t>Meilleur jeune et frais ; faible potentiel de garde</w:t>
            </w:r>
          </w:p>
        </w:tc>
      </w:tr>
    </w:tbl>
    <w:p/>
    <w:p>
      <w:pPr>
        <w:pStyle w:val="Heading1"/>
      </w:pPr>
      <w:r>
        <w:rPr>
          <w:color w:val="1B1B1B"/>
        </w:rPr>
        <w:t>Nouvelles sections proposées (Année 2)</w:t>
      </w:r>
    </w:p>
    <w:p>
      <w:r>
        <w:t>Ces sections appartiennent au livret mais n’ont pas d’équivalent existant ; chacune constitue un ajout nouveau.</w:t>
      </w:r>
    </w:p>
    <w:p>
      <w:r>
        <w:rPr>
          <w:b/>
          <w:color w:val="C00000"/>
        </w:rPr>
        <w:t>▸ ANNÉE 2 — NOUVELLE SECTION</w:t>
      </w:r>
    </w:p>
    <w:p>
      <w:pPr>
        <w:pStyle w:val="Heading2"/>
      </w:pPr>
      <w:r>
        <w:rPr>
          <w:color w:val="1B1B1B"/>
        </w:rPr>
        <w:t>Guide des accords mets et vins</w:t>
      </w:r>
    </w:p>
    <w:p>
      <w:r>
        <w:t>Chaque style de vin est associé à la cuisine grecque et méditerranéenne ainsi qu’aux plats de carême (nistísima) et de fête (giortina) de la table monastique. Le guide concerne le vin de table, et non le vin de la Divine Liturgie.</w:t>
      </w:r>
    </w:p>
    <w:tbl>
      <w:tblPr>
        <w:tblStyle w:val="TableGrid"/>
        <w:tblW w:type="auto" w:w="0"/>
        <w:jc w:val="center"/>
        <w:tblLook w:firstColumn="1" w:firstRow="1" w:lastColumn="0" w:lastRow="0" w:noHBand="0" w:noVBand="1" w:val="04A0"/>
      </w:tblPr>
      <w:tblGrid>
        <w:gridCol w:w="3400"/>
        <w:gridCol w:w="3400"/>
        <w:gridCol w:w="3400"/>
      </w:tblGrid>
      <w:tr>
        <w:tc>
          <w:tcPr>
            <w:tcW w:type="dxa" w:w="2381"/>
            <w:shd w:fill="EDE7DA"/>
            <w:vAlign w:val="center"/>
          </w:tcPr>
          <w:p>
            <w:r>
              <w:rPr>
                <w:b/>
                <w:color w:val="40311C"/>
                <w:sz w:val="17"/>
              </w:rPr>
              <w:t>Style / cépages</w:t>
            </w:r>
          </w:p>
        </w:tc>
        <w:tc>
          <w:tcPr>
            <w:tcW w:type="dxa" w:w="3288"/>
            <w:shd w:fill="EDE7DA"/>
            <w:vAlign w:val="center"/>
          </w:tcPr>
          <w:p>
            <w:r>
              <w:rPr>
                <w:b/>
                <w:color w:val="40311C"/>
                <w:sz w:val="17"/>
              </w:rPr>
              <w:t>Plats grecs et méditerranéens</w:t>
            </w:r>
          </w:p>
        </w:tc>
        <w:tc>
          <w:tcPr>
            <w:tcW w:type="dxa" w:w="3855"/>
            <w:shd w:fill="EDE7DA"/>
            <w:vAlign w:val="center"/>
          </w:tcPr>
          <w:p>
            <w:r>
              <w:rPr>
                <w:b/>
                <w:color w:val="40311C"/>
                <w:sz w:val="17"/>
              </w:rPr>
              <w:t>Table monastique — grandes fêtes religieuses et fêtes des monastères</w:t>
            </w:r>
          </w:p>
        </w:tc>
      </w:tr>
      <w:tr>
        <w:tc>
          <w:tcPr>
            <w:tcW w:type="dxa" w:w="2381"/>
            <w:vAlign w:val="center"/>
          </w:tcPr>
          <w:p>
            <w:r>
              <w:rPr>
                <w:sz w:val="17"/>
              </w:rPr>
              <w:t>Blancs vifs — Assyrtiko, Athiri, Roditis, Sauvignon Blanc</w:t>
            </w:r>
          </w:p>
        </w:tc>
        <w:tc>
          <w:tcPr>
            <w:tcW w:type="dxa" w:w="3288"/>
            <w:vAlign w:val="center"/>
          </w:tcPr>
          <w:p>
            <w:r>
              <w:rPr>
                <w:sz w:val="17"/>
              </w:rPr>
              <w:t>Poisson grillé, fruits de mer, plats citronnés, salades, feta</w:t>
            </w:r>
          </w:p>
        </w:tc>
        <w:tc>
          <w:tcPr>
            <w:tcW w:type="dxa" w:w="3855"/>
            <w:vAlign w:val="center"/>
          </w:tcPr>
          <w:p>
            <w:r>
              <w:rPr>
                <w:sz w:val="17"/>
              </w:rPr>
              <w:t>Carême : légumineuses (fava, gigantes), herbes sauvages (hórta), poulpe, légumes à l’huile d’olive</w:t>
            </w:r>
          </w:p>
        </w:tc>
      </w:tr>
      <w:tr>
        <w:tc>
          <w:tcPr>
            <w:tcW w:type="dxa" w:w="2381"/>
            <w:vAlign w:val="center"/>
          </w:tcPr>
          <w:p>
            <w:r>
              <w:rPr>
                <w:sz w:val="17"/>
              </w:rPr>
              <w:t>Blancs aromatiques et boisés — Muscat sec, Chardonnay</w:t>
            </w:r>
          </w:p>
        </w:tc>
        <w:tc>
          <w:tcPr>
            <w:tcW w:type="dxa" w:w="3288"/>
            <w:vAlign w:val="center"/>
          </w:tcPr>
          <w:p>
            <w:r>
              <w:rPr>
                <w:sz w:val="17"/>
              </w:rPr>
              <w:t>Volaille, plats crémeux ou beurrés, fromages doux, salades aromatiques</w:t>
            </w:r>
          </w:p>
        </w:tc>
        <w:tc>
          <w:tcPr>
            <w:tcW w:type="dxa" w:w="3855"/>
            <w:vAlign w:val="center"/>
          </w:tcPr>
          <w:p>
            <w:r>
              <w:rPr>
                <w:sz w:val="17"/>
              </w:rPr>
              <w:t>Tourtes aux légumes et plats aux herbes ; cuisine plus riche à l’huile d’olive les jours sans jeûne</w:t>
            </w:r>
          </w:p>
        </w:tc>
      </w:tr>
      <w:tr>
        <w:tc>
          <w:tcPr>
            <w:tcW w:type="dxa" w:w="2381"/>
            <w:vAlign w:val="center"/>
          </w:tcPr>
          <w:p>
            <w:r>
              <w:rPr>
                <w:sz w:val="17"/>
              </w:rPr>
              <w:t>Rosés et rouges légers — Muscat Hamburg, Fokiano, Merlot léger</w:t>
            </w:r>
          </w:p>
        </w:tc>
        <w:tc>
          <w:tcPr>
            <w:tcW w:type="dxa" w:w="3288"/>
            <w:vAlign w:val="center"/>
          </w:tcPr>
          <w:p>
            <w:r>
              <w:rPr>
                <w:sz w:val="17"/>
              </w:rPr>
              <w:t>Charcuterie, plats à la tomate, légumes grillés, fromages doux</w:t>
            </w:r>
          </w:p>
        </w:tc>
        <w:tc>
          <w:tcPr>
            <w:tcW w:type="dxa" w:w="3855"/>
            <w:vAlign w:val="center"/>
          </w:tcPr>
          <w:p>
            <w:r>
              <w:rPr>
                <w:sz w:val="17"/>
              </w:rPr>
              <w:t>Ragoûts de légumes de jeûne (briam, ladera), plats à la tomate et aux légumineuses</w:t>
            </w:r>
          </w:p>
        </w:tc>
      </w:tr>
      <w:tr>
        <w:tc>
          <w:tcPr>
            <w:tcW w:type="dxa" w:w="2381"/>
            <w:vAlign w:val="center"/>
          </w:tcPr>
          <w:p>
            <w:r>
              <w:rPr>
                <w:sz w:val="17"/>
              </w:rPr>
              <w:t>Rouges structurés — Xinomavro, Limnio, Cabernet, Syrah, Grenache</w:t>
            </w:r>
          </w:p>
        </w:tc>
        <w:tc>
          <w:tcPr>
            <w:tcW w:type="dxa" w:w="3288"/>
            <w:vAlign w:val="center"/>
          </w:tcPr>
          <w:p>
            <w:r>
              <w:rPr>
                <w:sz w:val="17"/>
              </w:rPr>
              <w:t>Viandes rouges grillées ou rôties, gibier, plats mijotés, fromages affinés</w:t>
            </w:r>
          </w:p>
        </w:tc>
        <w:tc>
          <w:tcPr>
            <w:tcW w:type="dxa" w:w="3855"/>
            <w:vAlign w:val="center"/>
          </w:tcPr>
          <w:p>
            <w:r>
              <w:rPr>
                <w:sz w:val="17"/>
              </w:rPr>
              <w:t>Jours de fête : agneau rôti, ragoûts de viande, graviera affinée</w:t>
            </w:r>
          </w:p>
        </w:tc>
      </w:tr>
      <w:tr>
        <w:tc>
          <w:tcPr>
            <w:tcW w:type="dxa" w:w="2381"/>
            <w:vAlign w:val="center"/>
          </w:tcPr>
          <w:p>
            <w:r>
              <w:rPr>
                <w:sz w:val="17"/>
              </w:rPr>
              <w:t>Doux passerillés et fortifiés — Muscat doux, liastos, vin doux</w:t>
            </w:r>
          </w:p>
        </w:tc>
        <w:tc>
          <w:tcPr>
            <w:tcW w:type="dxa" w:w="3288"/>
            <w:vAlign w:val="center"/>
          </w:tcPr>
          <w:p>
            <w:r>
              <w:rPr>
                <w:sz w:val="17"/>
              </w:rPr>
              <w:t>Desserts, fruits secs et fruits à coque, fromage bleu</w:t>
            </w:r>
          </w:p>
        </w:tc>
        <w:tc>
          <w:tcPr>
            <w:tcW w:type="dxa" w:w="3855"/>
            <w:vAlign w:val="center"/>
          </w:tcPr>
          <w:p>
            <w:r>
              <w:rPr>
                <w:sz w:val="17"/>
              </w:rPr>
              <w:t>Douceurs de fête, desserts au miel et aux fruits à coque (p. ex. baklava), fruits secs et fruits à coque ; après le repas</w:t>
            </w:r>
          </w:p>
        </w:tc>
      </w:tr>
    </w:tbl>
    <w:p/>
    <w:p>
      <w:r>
        <w:rPr>
          <w:b/>
          <w:color w:val="C00000"/>
        </w:rPr>
        <w:t>▸ ANNÉE 2 — NOUVELLE SECTION</w:t>
      </w:r>
    </w:p>
    <w:p>
      <w:pPr>
        <w:pStyle w:val="Heading2"/>
      </w:pPr>
      <w:r>
        <w:rPr>
          <w:color w:val="1B1B1B"/>
        </w:rPr>
        <w:t>Guide pratique de service et de dégustation</w:t>
      </w:r>
    </w:p>
    <w:p>
      <w:pPr>
        <w:pStyle w:val="Heading3"/>
      </w:pPr>
      <w:r>
        <w:rPr>
          <w:color w:val="1B1B1B"/>
        </w:rPr>
        <w:t>Températures de service</w:t>
      </w:r>
    </w:p>
    <w:tbl>
      <w:tblPr>
        <w:tblStyle w:val="TableGrid"/>
        <w:tblW w:type="auto" w:w="0"/>
        <w:jc w:val="center"/>
        <w:tblLook w:firstColumn="1" w:firstRow="1" w:lastColumn="0" w:lastRow="0" w:noHBand="0" w:noVBand="1" w:val="04A0"/>
      </w:tblPr>
      <w:tblGrid>
        <w:gridCol w:w="5100"/>
        <w:gridCol w:w="5100"/>
      </w:tblGrid>
      <w:tr>
        <w:tc>
          <w:tcPr>
            <w:tcW w:type="dxa" w:w="3969"/>
            <w:shd w:fill="EDE7DA"/>
            <w:vAlign w:val="center"/>
          </w:tcPr>
          <w:p>
            <w:r>
              <w:rPr>
                <w:b/>
                <w:color w:val="40311C"/>
                <w:sz w:val="17"/>
              </w:rPr>
              <w:t>Style de vin</w:t>
            </w:r>
          </w:p>
        </w:tc>
        <w:tc>
          <w:tcPr>
            <w:tcW w:type="dxa" w:w="2268"/>
            <w:shd w:fill="EDE7DA"/>
            <w:vAlign w:val="center"/>
          </w:tcPr>
          <w:p>
            <w:r>
              <w:rPr>
                <w:b/>
                <w:color w:val="40311C"/>
                <w:sz w:val="17"/>
              </w:rPr>
              <w:t>Température de service</w:t>
            </w:r>
          </w:p>
        </w:tc>
      </w:tr>
      <w:tr>
        <w:tc>
          <w:tcPr>
            <w:tcW w:type="dxa" w:w="3969"/>
            <w:vAlign w:val="center"/>
          </w:tcPr>
          <w:p>
            <w:r>
              <w:rPr>
                <w:sz w:val="17"/>
              </w:rPr>
              <w:t>Blancs vifs et rosés</w:t>
            </w:r>
          </w:p>
        </w:tc>
        <w:tc>
          <w:tcPr>
            <w:tcW w:type="dxa" w:w="2268"/>
            <w:vAlign w:val="center"/>
          </w:tcPr>
          <w:p>
            <w:r>
              <w:rPr>
                <w:sz w:val="17"/>
              </w:rPr>
              <w:t>8–10 °C</w:t>
            </w:r>
          </w:p>
        </w:tc>
      </w:tr>
      <w:tr>
        <w:tc>
          <w:tcPr>
            <w:tcW w:type="dxa" w:w="3969"/>
            <w:vAlign w:val="center"/>
          </w:tcPr>
          <w:p>
            <w:r>
              <w:rPr>
                <w:sz w:val="17"/>
              </w:rPr>
              <w:t>Blancs plus amples / boisés</w:t>
            </w:r>
          </w:p>
        </w:tc>
        <w:tc>
          <w:tcPr>
            <w:tcW w:type="dxa" w:w="2268"/>
            <w:vAlign w:val="center"/>
          </w:tcPr>
          <w:p>
            <w:r>
              <w:rPr>
                <w:sz w:val="17"/>
              </w:rPr>
              <w:t>10–12 °C</w:t>
            </w:r>
          </w:p>
        </w:tc>
      </w:tr>
      <w:tr>
        <w:tc>
          <w:tcPr>
            <w:tcW w:type="dxa" w:w="3969"/>
            <w:vAlign w:val="center"/>
          </w:tcPr>
          <w:p>
            <w:r>
              <w:rPr>
                <w:sz w:val="17"/>
              </w:rPr>
              <w:t>Rouges légers</w:t>
            </w:r>
          </w:p>
        </w:tc>
        <w:tc>
          <w:tcPr>
            <w:tcW w:type="dxa" w:w="2268"/>
            <w:vAlign w:val="center"/>
          </w:tcPr>
          <w:p>
            <w:r>
              <w:rPr>
                <w:sz w:val="17"/>
              </w:rPr>
              <w:t>12–14 °C</w:t>
            </w:r>
          </w:p>
        </w:tc>
      </w:tr>
      <w:tr>
        <w:tc>
          <w:tcPr>
            <w:tcW w:type="dxa" w:w="3969"/>
            <w:vAlign w:val="center"/>
          </w:tcPr>
          <w:p>
            <w:r>
              <w:rPr>
                <w:sz w:val="17"/>
              </w:rPr>
              <w:t>Rouges structurés</w:t>
            </w:r>
          </w:p>
        </w:tc>
        <w:tc>
          <w:tcPr>
            <w:tcW w:type="dxa" w:w="2268"/>
            <w:vAlign w:val="center"/>
          </w:tcPr>
          <w:p>
            <w:r>
              <w:rPr>
                <w:sz w:val="17"/>
              </w:rPr>
              <w:t>16–18 °C</w:t>
            </w:r>
          </w:p>
        </w:tc>
      </w:tr>
      <w:tr>
        <w:tc>
          <w:tcPr>
            <w:tcW w:type="dxa" w:w="3969"/>
            <w:vAlign w:val="center"/>
          </w:tcPr>
          <w:p>
            <w:r>
              <w:rPr>
                <w:sz w:val="17"/>
              </w:rPr>
              <w:t>Blancs passerillés et doux</w:t>
            </w:r>
          </w:p>
        </w:tc>
        <w:tc>
          <w:tcPr>
            <w:tcW w:type="dxa" w:w="2268"/>
            <w:vAlign w:val="center"/>
          </w:tcPr>
          <w:p>
            <w:r>
              <w:rPr>
                <w:sz w:val="17"/>
              </w:rPr>
              <w:t>8–12 °C</w:t>
            </w:r>
          </w:p>
        </w:tc>
      </w:tr>
      <w:tr>
        <w:tc>
          <w:tcPr>
            <w:tcW w:type="dxa" w:w="3969"/>
            <w:vAlign w:val="center"/>
          </w:tcPr>
          <w:p>
            <w:r>
              <w:rPr>
                <w:sz w:val="17"/>
              </w:rPr>
              <w:t>Doux fortifié (vin doux)</w:t>
            </w:r>
          </w:p>
        </w:tc>
        <w:tc>
          <w:tcPr>
            <w:tcW w:type="dxa" w:w="2268"/>
            <w:vAlign w:val="center"/>
          </w:tcPr>
          <w:p>
            <w:r>
              <w:rPr>
                <w:sz w:val="17"/>
              </w:rPr>
              <w:t>12–14 °C</w:t>
            </w:r>
          </w:p>
        </w:tc>
      </w:tr>
    </w:tbl>
    <w:p/>
    <w:p>
      <w:pPr>
        <w:pStyle w:val="Heading3"/>
      </w:pPr>
      <w:r>
        <w:rPr>
          <w:color w:val="1B1B1B"/>
        </w:rPr>
        <w:t>Verres — une forme adaptée à chaque style</w:t>
      </w:r>
    </w:p>
    <w:p>
      <w:r>
        <w:t>Chaque verre est choisi pour sa forme et non pour sa taille : la forme oriente différemment le vin et ses arômes. Tenir le verre par le pied permet de conserver la température du vin ; le remplir environ au tiers laisse l’espace nécessaire pour faire tourner le vin.</w:t>
      </w:r>
    </w:p>
    <w:tbl>
      <w:tblPr>
        <w:tblStyle w:val="TableGrid"/>
        <w:tblW w:type="auto" w:w="0"/>
        <w:jc w:val="center"/>
        <w:tblLook w:firstColumn="1" w:firstRow="1" w:lastColumn="0" w:lastRow="0" w:noHBand="0" w:noVBand="1" w:val="04A0"/>
      </w:tblPr>
      <w:tblGrid>
        <w:gridCol w:w="5100"/>
        <w:gridCol w:w="5100"/>
      </w:tblGrid>
      <w:tr>
        <w:tc>
          <w:tcPr>
            <w:tcW w:type="dxa" w:w="3402"/>
            <w:shd w:fill="EDE7DA"/>
            <w:vAlign w:val="center"/>
          </w:tcPr>
          <w:p>
            <w:r>
              <w:rPr>
                <w:b/>
                <w:color w:val="40311C"/>
                <w:sz w:val="17"/>
              </w:rPr>
              <w:t>Style / cépages</w:t>
            </w:r>
          </w:p>
        </w:tc>
        <w:tc>
          <w:tcPr>
            <w:tcW w:type="dxa" w:w="5953"/>
            <w:shd w:fill="EDE7DA"/>
            <w:vAlign w:val="center"/>
          </w:tcPr>
          <w:p>
            <w:r>
              <w:rPr>
                <w:b/>
                <w:color w:val="40311C"/>
                <w:sz w:val="17"/>
              </w:rPr>
              <w:t>Forme du verre</w:t>
            </w:r>
          </w:p>
        </w:tc>
      </w:tr>
      <w:tr>
        <w:tc>
          <w:tcPr>
            <w:tcW w:type="dxa" w:w="3402"/>
            <w:vAlign w:val="center"/>
          </w:tcPr>
          <w:p>
            <w:r>
              <w:rPr>
                <w:sz w:val="17"/>
              </w:rPr>
              <w:t>Blancs aromatiques vifs — Assyrtiko, Athiri, Roditis, Sauvignon Blanc, Muscat sec</w:t>
            </w:r>
          </w:p>
        </w:tc>
        <w:tc>
          <w:tcPr>
            <w:tcW w:type="dxa" w:w="5953"/>
            <w:vAlign w:val="center"/>
          </w:tcPr>
          <w:p>
            <w:r>
              <w:rPr>
                <w:sz w:val="17"/>
              </w:rPr>
              <w:t>Petit verre à vin blanc effilé (forme Sauvignon Blanc) — étroit, pour garder le vin frais, soutenir l’acidité et élever les notes d’agrumes et florales.</w:t>
            </w:r>
          </w:p>
        </w:tc>
      </w:tr>
      <w:tr>
        <w:tc>
          <w:tcPr>
            <w:tcW w:type="dxa" w:w="3402"/>
            <w:vAlign w:val="center"/>
          </w:tcPr>
          <w:p>
            <w:r>
              <w:rPr>
                <w:sz w:val="17"/>
              </w:rPr>
              <w:t>Blancs plus amples / boisés — Chardonnay</w:t>
            </w:r>
          </w:p>
        </w:tc>
        <w:tc>
          <w:tcPr>
            <w:tcW w:type="dxa" w:w="5953"/>
            <w:vAlign w:val="center"/>
          </w:tcPr>
          <w:p>
            <w:r>
              <w:rPr>
                <w:sz w:val="17"/>
              </w:rPr>
              <w:t>Verre à vin blanc plus large (forme Chardonnay boisé) — plus ample, offrant de l’espace à la texture et aux arômes légèrement toastés.</w:t>
            </w:r>
          </w:p>
        </w:tc>
      </w:tr>
      <w:tr>
        <w:tc>
          <w:tcPr>
            <w:tcW w:type="dxa" w:w="3402"/>
            <w:vAlign w:val="center"/>
          </w:tcPr>
          <w:p>
            <w:r>
              <w:rPr>
                <w:sz w:val="17"/>
              </w:rPr>
              <w:t>Rosés et rouges légers — Muscat Hamburg, Fokiano, Merlot léger</w:t>
            </w:r>
          </w:p>
        </w:tc>
        <w:tc>
          <w:tcPr>
            <w:tcW w:type="dxa" w:w="5953"/>
            <w:vAlign w:val="center"/>
          </w:tcPr>
          <w:p>
            <w:r>
              <w:rPr>
                <w:sz w:val="17"/>
              </w:rPr>
              <w:t>Verre à rosé ou petit verre rouge, légèrement évasé au bord pour mettre en valeur le fruit frais.</w:t>
            </w:r>
          </w:p>
        </w:tc>
      </w:tr>
      <w:tr>
        <w:tc>
          <w:tcPr>
            <w:tcW w:type="dxa" w:w="3402"/>
            <w:vAlign w:val="center"/>
          </w:tcPr>
          <w:p>
            <w:r>
              <w:rPr>
                <w:sz w:val="17"/>
              </w:rPr>
              <w:t>Rouges aromatiques à forte acidité — Xinomavro</w:t>
            </w:r>
          </w:p>
        </w:tc>
        <w:tc>
          <w:tcPr>
            <w:tcW w:type="dxa" w:w="5953"/>
            <w:vAlign w:val="center"/>
          </w:tcPr>
          <w:p>
            <w:r>
              <w:rPr>
                <w:sz w:val="17"/>
              </w:rPr>
              <w:t>Grand verre rouge arrondi (forme Bourgogne / Nebbiolo) — il adoucit les tanins et rassemble les arômes délicats.</w:t>
            </w:r>
          </w:p>
        </w:tc>
      </w:tr>
      <w:tr>
        <w:tc>
          <w:tcPr>
            <w:tcW w:type="dxa" w:w="3402"/>
            <w:vAlign w:val="center"/>
          </w:tcPr>
          <w:p>
            <w:r>
              <w:rPr>
                <w:sz w:val="17"/>
              </w:rPr>
              <w:t>Rouges structurés de style bordelais — Cabernet Sauvignon, Cabernet Franc, Merlot, Limnio</w:t>
            </w:r>
          </w:p>
        </w:tc>
        <w:tc>
          <w:tcPr>
            <w:tcW w:type="dxa" w:w="5953"/>
            <w:vAlign w:val="center"/>
          </w:tcPr>
          <w:p>
            <w:r>
              <w:rPr>
                <w:sz w:val="17"/>
              </w:rPr>
              <w:t>Grand verre rouge haut et généreux (forme Bordeaux) — il conduit le vin au-delà des tanins fermes.</w:t>
            </w:r>
          </w:p>
        </w:tc>
      </w:tr>
      <w:tr>
        <w:tc>
          <w:tcPr>
            <w:tcW w:type="dxa" w:w="3402"/>
            <w:vAlign w:val="center"/>
          </w:tcPr>
          <w:p>
            <w:r>
              <w:rPr>
                <w:sz w:val="17"/>
              </w:rPr>
              <w:t>Rouges épicés — Syrah, Grenache</w:t>
            </w:r>
          </w:p>
        </w:tc>
        <w:tc>
          <w:tcPr>
            <w:tcW w:type="dxa" w:w="5953"/>
            <w:vAlign w:val="center"/>
          </w:tcPr>
          <w:p>
            <w:r>
              <w:rPr>
                <w:sz w:val="17"/>
              </w:rPr>
              <w:t>Forme Syrah (grand verre rouge) — cheminée légèrement plus étroite qui tempère le poivre et les épices.</w:t>
            </w:r>
          </w:p>
        </w:tc>
      </w:tr>
      <w:tr>
        <w:tc>
          <w:tcPr>
            <w:tcW w:type="dxa" w:w="3402"/>
            <w:vAlign w:val="center"/>
          </w:tcPr>
          <w:p>
            <w:r>
              <w:rPr>
                <w:sz w:val="17"/>
              </w:rPr>
              <w:t>Doux passerillés et fortifiés — liastos, vin doux</w:t>
            </w:r>
          </w:p>
        </w:tc>
        <w:tc>
          <w:tcPr>
            <w:tcW w:type="dxa" w:w="5953"/>
            <w:vAlign w:val="center"/>
          </w:tcPr>
          <w:p>
            <w:r>
              <w:rPr>
                <w:sz w:val="17"/>
              </w:rPr>
              <w:t>Petit verre à vin de dessert — compact, avec un service modéré qui concentre la douceur et maintient l’alcool en équilibre.</w:t>
            </w:r>
          </w:p>
        </w:tc>
      </w:tr>
    </w:tbl>
    <w:p/>
    <w:p>
      <w:pPr>
        <w:pStyle w:val="Heading3"/>
      </w:pPr>
      <w:r>
        <w:rPr>
          <w:color w:val="1B1B1B"/>
        </w:rPr>
        <w:t>Conservation et ordre de dégustation</w:t>
      </w:r>
    </w:p>
    <w:p>
      <w:pPr>
        <w:pStyle w:val="ListBullet"/>
      </w:pPr>
      <w:r>
        <w:t>Conservation : température stable de 11–14 °C, humidité de 60–70 %, bouteilles bouchées au liège couchées sur le côté, à l’abri de la lumière et des vibrations.</w:t>
      </w:r>
    </w:p>
    <w:p>
      <w:pPr>
        <w:pStyle w:val="ListBullet"/>
      </w:pPr>
      <w:r>
        <w:t>Ordre de dégustation : du plus léger au plus puissant, du sec au doux, du jeune au plus âgé — effervescents, blancs, rosés, rouges légers, rouges structurés, vins doux en dernier.</w:t>
      </w:r>
    </w:p>
    <w:p>
      <w:pPr>
        <w:pStyle w:val="Heading3"/>
      </w:pPr>
      <w:r>
        <w:rPr>
          <w:color w:val="1B1B1B"/>
        </w:rPr>
        <w:t>Les trois étapes de la dégustation</w:t>
      </w:r>
    </w:p>
    <w:p>
      <w:pPr>
        <w:pStyle w:val="ListBullet"/>
      </w:pPr>
      <w:r>
        <w:t>Aspect (όψη) : limpidité, couleur et intensité, ainsi que le bord du disque comme indice d’âge.</w:t>
      </w:r>
    </w:p>
    <w:p>
      <w:pPr>
        <w:pStyle w:val="ListBullet"/>
      </w:pPr>
      <w:r>
        <w:t>Nez (μύτη) : arômes primaires (raisin), secondaires (vinification) et tertiaires (élevage) ; intensité globale.</w:t>
      </w:r>
    </w:p>
    <w:p>
      <w:pPr>
        <w:pStyle w:val="ListBullet"/>
      </w:pPr>
      <w:r>
        <w:t>Bouche (στόμα) : sucrosité, acidité, tanins, corps, saveur et longueur finale.</w:t>
      </w:r>
    </w:p>
    <w:p>
      <w:r>
        <w:rPr>
          <w:b/>
          <w:color w:val="C00000"/>
        </w:rPr>
        <w:t>▸ ANNÉE 2 — NOUVEAU — outils pour masterclass</w:t>
      </w:r>
    </w:p>
    <w:p>
      <w:pPr>
        <w:pStyle w:val="Heading2"/>
      </w:pPr>
      <w:r>
        <w:rPr>
          <w:color w:val="1B1B1B"/>
        </w:rPr>
        <w:t>Roue des arômes — IGP Mont Athos</w:t>
      </w:r>
    </w:p>
    <w:p>
      <w:r>
        <w:t>Une roue allant des grandes familles aromatiques au centre vers des descripteurs précis en périphérie, construite à partir des arômes des cépages IGP :</w:t>
      </w:r>
    </w:p>
    <w:p>
      <w:pPr>
        <w:pStyle w:val="ListBullet"/>
      </w:pPr>
      <w:r>
        <w:t>Fruit → fruits rouges ; fruits noirs ; agrumes ; fruits à noyau ; fruits secs.</w:t>
      </w:r>
    </w:p>
    <w:p>
      <w:pPr>
        <w:pStyle w:val="ListBullet"/>
      </w:pPr>
      <w:r>
        <w:t>Floral → rose, fleur d’oranger, fleurs blanches, violette.</w:t>
      </w:r>
    </w:p>
    <w:p>
      <w:pPr>
        <w:pStyle w:val="ListBullet"/>
      </w:pPr>
      <w:r>
        <w:t>Herbacé / végétal → herbes fraîches, poivron vert, feuille de tomate, olive.</w:t>
      </w:r>
    </w:p>
    <w:p>
      <w:pPr>
        <w:pStyle w:val="ListBullet"/>
      </w:pPr>
      <w:r>
        <w:t>Épices → poivre noir, épices chaudes, réglisse.</w:t>
      </w:r>
    </w:p>
    <w:p>
      <w:pPr>
        <w:pStyle w:val="ListBullet"/>
      </w:pPr>
      <w:r>
        <w:t>Terreux / minéral → silex, salinité, champignon, terre.</w:t>
      </w:r>
    </w:p>
    <w:p>
      <w:pPr>
        <w:pStyle w:val="ListBullet"/>
      </w:pPr>
      <w:r>
        <w:t>Chêne et élevage → vanille, toast, cèdre, tabac, cuir, café, miel, fruits à coque.</w:t>
      </w:r>
    </w:p>
    <w:p>
      <w:pPr>
        <w:pStyle w:val="Heading2"/>
      </w:pPr>
      <w:r>
        <w:rPr>
          <w:color w:val="1B1B1B"/>
        </w:rPr>
        <w:t>Carte d’identité viticole de la zone IGP</w:t>
      </w:r>
    </w:p>
    <w:p>
      <w:r>
        <w:t>Carte de la zone — péninsule athonite et Ouranoupoli — montrant la bande d’altitude de 10–400 m, les sols sablo-limoneux et sablo-argilo-limoneux sur substrats granitiques, la proximité de la mer et l’orientation sud-est, avec les styles de vin qu’ils favorisent.</w:t>
      </w:r>
    </w:p>
    <w:p>
      <w:pPr>
        <w:pStyle w:val="Heading2"/>
      </w:pPr>
      <w:r>
        <w:rPr>
          <w:color w:val="1B1B1B"/>
        </w:rPr>
        <w:t>Glossaire trilingue des termes</w:t>
      </w:r>
    </w:p>
    <w:p>
      <w:r>
        <w:t>Un glossaire canonique commun EN / FR / ZH afin de garantir la cohérence terminologique dans chaque traduction. Termes clés :</w:t>
      </w:r>
    </w:p>
    <w:p>
      <w:pPr>
        <w:pStyle w:val="ListBullet"/>
      </w:pPr>
      <w:r>
        <w:t>Origine et cadre : IGP, terroir, millésime.</w:t>
      </w:r>
    </w:p>
    <w:p>
      <w:pPr>
        <w:pStyle w:val="ListBullet"/>
      </w:pPr>
      <w:r>
        <w:t>Athonite et monastique : Avaton, Diamonitirion, Typikon, Tragos, metochi, skite, cénobitique, Nama, nisteia, panigyri, trapeza.</w:t>
      </w:r>
    </w:p>
    <w:p>
      <w:pPr>
        <w:pStyle w:val="ListBullet"/>
      </w:pPr>
      <w:r>
        <w:t>Vignoble et chai : gobelet, véraison, moût, paravoutes (cuves de foulage / macération), vagenia (cuves de fermentation), sur lie, fermentation malolactique, contact pelliculaire, sulfites.</w:t>
      </w:r>
    </w:p>
    <w:p>
      <w:pPr>
        <w:pStyle w:val="ListBullet"/>
      </w:pPr>
      <w:r>
        <w:t>Vin et styles : passerillé (liastos), fortifié / vin doux, tsipouro, organoleptique.</w:t>
      </w:r>
    </w:p>
    <w:p>
      <w:pPr>
        <w:pStyle w:val="Heading2"/>
      </w:pPr>
      <w:r>
        <w:rPr>
          <w:color w:val="1B1B1B"/>
        </w:rPr>
        <w:t>Kit d’animation pour masterclass</w:t>
      </w:r>
    </w:p>
    <w:p>
      <w:pPr>
        <w:pStyle w:val="ListBullet"/>
      </w:pPr>
      <w:r>
        <w:t>Tapis de dégustation / set de table : positions numérotées des verres dans l’ordre de dégustation, espace de notes, échelle simple d’évaluation.</w:t>
      </w:r>
    </w:p>
    <w:p>
      <w:pPr>
        <w:pStyle w:val="ListBullet"/>
      </w:pPr>
      <w:r>
        <w:t>Notes du présentateur : points clés par cépage (caractère, arômes, accord, un « saviez-vous ? ») avec minutage.</w:t>
      </w:r>
    </w:p>
    <w:p>
      <w:pPr>
        <w:pStyle w:val="ListBullet"/>
      </w:pPr>
      <w:r>
        <w:t>Supports à distribuer : roue des arômes et fiche courte de service et de dégustation.</w:t>
      </w:r>
    </w:p>
    <w:sectPr w:rsidR="00FC693F" w:rsidRPr="0006063C" w:rsidSect="00034616">
      <w:pgSz w:w="12240" w:h="15840"/>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eastAsia="Aptos"/>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