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0311C"/>
          <w:sz w:val="36"/>
        </w:rPr>
        <w:t>MOUNT ATHOS WINES — Educational Material</w:t>
      </w:r>
    </w:p>
    <w:p>
      <w:pPr>
        <w:jc w:val="center"/>
      </w:pPr>
      <w:r>
        <w:rPr>
          <w:color w:val="666666"/>
          <w:sz w:val="18"/>
        </w:rPr>
        <w:t>Year 2 additions mapped onto the existing booklet. Black = existing booklet · Red = Year 2 addition, under the chapter it belongs to.</w:t>
      </w:r>
    </w:p>
    <w:p>
      <w:pPr>
        <w:pStyle w:val="Heading1"/>
      </w:pPr>
      <w:r>
        <w:rPr>
          <w:color w:val="1B1B1B"/>
        </w:rPr>
        <w:t>Chapter 1 — Introduction</w:t>
      </w:r>
    </w:p>
    <w:p>
      <w:r>
        <w:rPr>
          <w:b/>
          <w:i/>
          <w:color w:val="666666"/>
        </w:rPr>
        <w:t xml:space="preserve">Existing in the booklet: </w:t>
      </w:r>
      <w:r>
        <w:rPr>
          <w:i/>
          <w:color w:val="666666"/>
        </w:rPr>
        <w:t>Geography and mythology of Mount Athos; Historical Significance (ancient references, the Christian era, monastic development, the Typika, autonomy, the World War II period); Environment (vegetation, geology, climate).</w:t>
      </w:r>
    </w:p>
    <w:p>
      <w:r>
        <w:rPr>
          <w:i/>
          <w:color w:val="666666"/>
        </w:rPr>
        <w:t>— No Year 2 additions in this chapter.</w:t>
      </w:r>
    </w:p>
    <w:p>
      <w:pPr>
        <w:pStyle w:val="Heading1"/>
      </w:pPr>
      <w:r>
        <w:rPr>
          <w:color w:val="1B1B1B"/>
        </w:rPr>
        <w:t>Chapter 2 — Cultural Significance &amp; Today</w:t>
      </w:r>
    </w:p>
    <w:p>
      <w:r>
        <w:rPr>
          <w:b/>
          <w:i/>
          <w:color w:val="666666"/>
        </w:rPr>
        <w:t xml:space="preserve">Existing in the booklet: </w:t>
      </w:r>
      <w:r>
        <w:rPr>
          <w:i/>
          <w:color w:val="666666"/>
        </w:rPr>
        <w:t>Cultural significance of the monasteries; the 20 Holy Monasteries, sketes and cells; governance (Holy Community, Holy Epistasia, Holy Synaxis); UNESCO World Heritage; Natura 2000; population and access by diamonitirion.</w:t>
      </w:r>
    </w:p>
    <w:p>
      <w:r>
        <w:rPr>
          <w:i/>
          <w:color w:val="666666"/>
        </w:rPr>
        <w:t>— No Year 2 additions in this chapter.</w:t>
      </w:r>
    </w:p>
    <w:p>
      <w:pPr>
        <w:pStyle w:val="Heading1"/>
      </w:pPr>
      <w:r>
        <w:rPr>
          <w:color w:val="1B1B1B"/>
        </w:rPr>
        <w:t>Chapter 3 — The Winemaking Tradition of Mount Athos</w:t>
      </w:r>
    </w:p>
    <w:p>
      <w:r>
        <w:rPr>
          <w:b/>
          <w:i/>
          <w:color w:val="666666"/>
        </w:rPr>
        <w:t xml:space="preserve">Existing in the booklet: </w:t>
      </w:r>
      <w:r>
        <w:rPr>
          <w:i/>
          <w:color w:val="666666"/>
        </w:rPr>
        <w:t>Viticulture from antiquity; the Tragos and Rule 15 (sale of wine beyond the river Zygos forbidden); the Byzantine and Ottoman periods; phylloxera (c.1925) and the 1980 revival; grape pressing (paravoutes, vagenia, rakario / tsipouro); the contribution of wine to monastic identity; the winemaking identity of Mount Athos (grape varieties, modern winemaking, cultural and spiritual dimension).</w:t>
      </w:r>
    </w:p>
    <w:p>
      <w:r>
        <w:rPr>
          <w:b/>
          <w:color w:val="C00000"/>
        </w:rPr>
        <w:t>▸ YEAR 2 — NEW — a single historical timeline that gathers the Chapter 3 history into one view</w:t>
      </w:r>
    </w:p>
    <w:p>
      <w:pPr>
        <w:pStyle w:val="Heading2"/>
      </w:pPr>
      <w:r>
        <w:rPr>
          <w:color w:val="1B1B1B"/>
        </w:rPr>
        <w:t>Historical timeline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87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When</w:t>
            </w:r>
          </w:p>
        </w:tc>
        <w:tc>
          <w:tcPr>
            <w:tcW w:type="dxa" w:w="76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Milestone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Antiquity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Renowned wines of Halkidiki (Mende, Aphytis, Akanthos, Skione); by tradition, a vineyard associated with Aristotle at Stageira.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10th century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Organised monastic community; nearly every monastery keeps vineyards.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c. 972 — the Tragos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First Typikon of Athos; Rule 15 governs wine, forbidding its sale beyond the river Zygos.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1046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Second Typikon (Constantine IX Monomachos) regulates monastery property and commerce.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Byzantine period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Monastery vineyards across Eastern Macedonia and Halkidiki; wine traded as far as Constantinople.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Ottoman period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From the 16th century, rising taxation and decline.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1749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Foundation of the Athoniada Academy at Vatopedi.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1821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War of Independence — production falls sharply.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c. 1925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Phylloxera reaches the peninsula; a shift in varietal composition follows.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1980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A new generation of monks begins systematic replanting and revival.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Today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PGI Mount Athos; modernised wineries and metochia (e.g. Mylopotamos, Chromitsa).</w:t>
            </w:r>
          </w:p>
        </w:tc>
      </w:tr>
    </w:tbl>
    <w:p/>
    <w:p>
      <w:pPr>
        <w:pStyle w:val="Heading1"/>
      </w:pPr>
      <w:r>
        <w:rPr>
          <w:color w:val="1B1B1B"/>
        </w:rPr>
        <w:t>Chapter 4 — The Designation of Origin: PGI Mount Athos</w:t>
      </w:r>
    </w:p>
    <w:p>
      <w:r>
        <w:rPr>
          <w:b/>
          <w:i/>
          <w:color w:val="666666"/>
        </w:rPr>
        <w:t>Existing in the booklet: The PGI zone (Mount Athos and the district of Ouranoupoli, Municipality of Stagira–Akanthos, 10–400 m); the list of 16 varieties authorised by the current product specification; winemaking methods (white, white sun-dried, red, red sun-dried, liqueur / fortified, rosé); terroir, geomorphology, microclimates and climate; traditional and modern practices; technical specifications; and “The varieties” — four profile cards.</w:t>
      </w:r>
      <w:r>
        <w:rPr>
          <w:i/>
          <w:color w:val="666666"/>
        </w:rPr>
      </w:r>
    </w:p>
    <w:p>
      <w:pPr>
        <w:pStyle w:val="Heading2"/>
      </w:pPr>
      <w:r>
        <w:rPr>
          <w:color w:val="1B1B1B"/>
        </w:rPr>
        <w:t>The varieties — existing cards (4)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70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Variety</w:t>
            </w:r>
          </w:p>
        </w:tc>
        <w:tc>
          <w:tcPr>
            <w:tcW w:type="dxa" w:w="158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Type</w:t>
            </w:r>
          </w:p>
        </w:tc>
        <w:tc>
          <w:tcPr>
            <w:tcW w:type="dxa" w:w="147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Colour</w:t>
            </w:r>
          </w:p>
        </w:tc>
        <w:tc>
          <w:tcPr>
            <w:tcW w:type="dxa" w:w="21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Acidity</w:t>
            </w:r>
          </w:p>
        </w:tc>
        <w:tc>
          <w:tcPr>
            <w:tcW w:type="dxa" w:w="136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Aromas</w:t>
            </w:r>
          </w:p>
        </w:tc>
        <w:tc>
          <w:tcPr>
            <w:tcW w:type="dxa" w:w="255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Tannins</w:t>
            </w:r>
          </w:p>
        </w:tc>
        <w:tc>
          <w:tcPr>
            <w:tcW w:type="dxa" w:w="145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Bottle ageing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Muscat of Alexandria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White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Medium intensity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Low to 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Rose petals, orange peel, bergamot, white citrus fruit flowers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Raisins, dried apricot, orange jam, rancio; best young (dry), high ageing potential (sweet)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Limnio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Red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Medium intensity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Fresh herbs, red wild berries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Spices, red fruit jam; medium ageing potential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Xinomavro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Red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Pale to medium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High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Red wild berries, morello cherry, black olive, tomato, cabbage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High, austere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Develops slowly, high ageing potential; mushroom, tobacco leaves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Cabernet Sauvignon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Red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Deep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High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Black cassis, eucalyptus, blackberries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High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Tobacco leaves, mushroom, earthy, leather, coffee; long ageing potential</w:t>
            </w:r>
          </w:p>
        </w:tc>
      </w:tr>
    </w:tbl>
    <w:p/>
    <w:p>
      <w:r>
        <w:rPr>
          <w:b/>
          <w:color w:val="C00000"/>
        </w:rPr>
        <w:t>▸ YEAR 2 — NEW CARDS — complete the set to the 16 varieties authorised by the current PGI product specification (+ Fokiano, historical)</w:t>
      </w:r>
    </w:p>
    <w:p>
      <w:pPr>
        <w:pStyle w:val="Heading2"/>
      </w:pPr>
      <w:r>
        <w:rPr>
          <w:color w:val="1B1B1B"/>
        </w:rPr>
        <w:t>Red varieties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70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Variety</w:t>
            </w:r>
          </w:p>
        </w:tc>
        <w:tc>
          <w:tcPr>
            <w:tcW w:type="dxa" w:w="158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Type</w:t>
            </w:r>
          </w:p>
        </w:tc>
        <w:tc>
          <w:tcPr>
            <w:tcW w:type="dxa" w:w="147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Colour</w:t>
            </w:r>
          </w:p>
        </w:tc>
        <w:tc>
          <w:tcPr>
            <w:tcW w:type="dxa" w:w="21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Acidity</w:t>
            </w:r>
          </w:p>
        </w:tc>
        <w:tc>
          <w:tcPr>
            <w:tcW w:type="dxa" w:w="136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Aromas</w:t>
            </w:r>
          </w:p>
        </w:tc>
        <w:tc>
          <w:tcPr>
            <w:tcW w:type="dxa" w:w="255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Tannins</w:t>
            </w:r>
          </w:p>
        </w:tc>
        <w:tc>
          <w:tcPr>
            <w:tcW w:type="dxa" w:w="145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Bottle ageing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Cabernet Franc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Red · International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Raspberry, redcurrant, leafy / green pepper, violet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Medium, fine-grained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Cedar, graphite, pencil-lead; medium ageing potential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Syrah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Red · International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Deep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Blackberry, blackcurrant, black pepper, violet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High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Smoked meat, leather, olive, spice; high ageing potential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Merlot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Red · International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Medium to deep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Plum, black cherry, cocoa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Medium, soft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Fruitcake, cocoa, tobacco; medium ageing potential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Grenache Rouge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Red · International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Low to 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Strawberry, raspberry, white pepper, dried herbs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Medium, soft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Fig, leather, warm spice; medium ageing potential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Muscat Hamburg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Red / light · International (aromatic; table &amp; wine grape)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Light to medium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Grapey / muscat, rose, fresh red fruit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Low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Best young and fresh; low ageing potential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Fokiano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Red · Greek, native — grown in the region but not among the 16 varieties authorised by the current PGI product specification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Light to medium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Bright cherry, redcurrant, light spice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Low to medium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Best young; low to medium ageing potential</w:t>
            </w:r>
          </w:p>
        </w:tc>
      </w:tr>
    </w:tbl>
    <w:p/>
    <w:p>
      <w:pPr>
        <w:pStyle w:val="Heading2"/>
      </w:pPr>
      <w:r>
        <w:rPr>
          <w:color w:val="1B1B1B"/>
        </w:rPr>
        <w:t>White varieties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70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Variety</w:t>
            </w:r>
          </w:p>
        </w:tc>
        <w:tc>
          <w:tcPr>
            <w:tcW w:type="dxa" w:w="158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Type</w:t>
            </w:r>
          </w:p>
        </w:tc>
        <w:tc>
          <w:tcPr>
            <w:tcW w:type="dxa" w:w="147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Colour</w:t>
            </w:r>
          </w:p>
        </w:tc>
        <w:tc>
          <w:tcPr>
            <w:tcW w:type="dxa" w:w="21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Acidity</w:t>
            </w:r>
          </w:p>
        </w:tc>
        <w:tc>
          <w:tcPr>
            <w:tcW w:type="dxa" w:w="136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Aromas</w:t>
            </w:r>
          </w:p>
        </w:tc>
        <w:tc>
          <w:tcPr>
            <w:tcW w:type="dxa" w:w="255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Tannins</w:t>
            </w:r>
          </w:p>
        </w:tc>
        <w:tc>
          <w:tcPr>
            <w:tcW w:type="dxa" w:w="145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Bottle ageing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Assyrtiko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White · Greek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Pale, lemon-green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High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Lemon / citrus, flint, mineral, saline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Honeyed, waxy, nutty; high ageing potential (unusual for a white)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Athiri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White · Greek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Pale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Citrus, white flowers, soft peach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Best young and fresh; low ageing potential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Roditis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White (pink-skinned) · Greek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Pale, faint copper tint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 to high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Citrus, melon, light floral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Best young; low ageing potential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Chardonnay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White · International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Pale to gold (when oaked)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Medium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Citrus, apple, pear (unoaked); butter, vanilla, toast (oaked)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Nutty, honeyed in the oaked style; medium ageing potential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Sauvignon Blanc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White · International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Pale, lemon-green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High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Citrus, green herbs, gooseberry, green apple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Best young and fresh; low ageing potential</w:t>
            </w:r>
          </w:p>
        </w:tc>
      </w:tr>
    </w:tbl>
    <w:p/>
    <w:p>
      <w:pPr>
        <w:pStyle w:val="Heading1"/>
      </w:pPr>
      <w:r>
        <w:rPr>
          <w:color w:val="1B1B1B"/>
        </w:rPr>
        <w:t>Proposed new sections (Year 2)</w:t>
      </w:r>
    </w:p>
    <w:p>
      <w:r>
        <w:t>These belong to the booklet but have no existing equivalent; each is new.</w:t>
      </w:r>
    </w:p>
    <w:p>
      <w:r>
        <w:rPr>
          <w:b/>
          <w:color w:val="C00000"/>
        </w:rPr>
        <w:t>▸ YEAR 2 — NEW SECTION</w:t>
      </w:r>
    </w:p>
    <w:p>
      <w:pPr>
        <w:pStyle w:val="Heading2"/>
      </w:pPr>
      <w:r>
        <w:rPr>
          <w:color w:val="1B1B1B"/>
        </w:rPr>
        <w:t>Food-pairing guide</w:t>
      </w:r>
    </w:p>
    <w:p>
      <w:r>
        <w:t>Each wine style is linked to Greek and Mediterranean cooking and to the Lenten (nistísima) and feast-day (giortina) dishes of the monastic table. The guide concerns table wine, not the wine of the Divine Liturgy.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38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Style / varieties</w:t>
            </w:r>
          </w:p>
        </w:tc>
        <w:tc>
          <w:tcPr>
            <w:tcW w:type="dxa" w:w="3288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Greek &amp; Mediterranean dishes</w:t>
            </w:r>
          </w:p>
        </w:tc>
        <w:tc>
          <w:tcPr>
            <w:tcW w:type="dxa" w:w="3855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Monastic table — Major Religious Holidays – Monastery Feast Days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Crisp whites — Assyrtiko, Athiri, Roditis, Sauvignon Blanc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Grilled fish, seafood, lemony dishes, salads, feta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Lenten: legumes (fava, gigantes), wild greens (hórta), octopus, olive-oil vegetables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Aromatic &amp; oaked whites — dry Muscat, Chardonnay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Poultry, creamy or buttery dishes, mild cheese, aromatic salads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Vegetable pies and herb dishes; richer olive-oil cooking on non-fasting days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Rosé &amp; light reds — Muscat Hamburg, Fokiano, lighter Merlot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Charcuterie, tomato dishes, grilled vegetables, mild cheeses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Fasting vegetable stews (briam, ladera), tomato and pulse dishes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Structured reds — Xinomavro, Limnio, Cabernet, Syrah, Grenache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Grilled or roasted red meat, game, stews, aged cheese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Feast days: roast lamb, meat stews, aged graviera on feast days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Sun-dried &amp; fortified sweet — sweet Muscat, liastos, vin doux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Desserts, dried fruit and nuts, blue cheese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Feast-day sweets, honey-and-nut desserts (e.g. baklava), dried fruit and nuts; after the meal</w:t>
            </w:r>
          </w:p>
        </w:tc>
      </w:tr>
    </w:tbl>
    <w:p/>
    <w:p>
      <w:r>
        <w:rPr>
          <w:b/>
          <w:color w:val="C00000"/>
        </w:rPr>
        <w:t>▸ YEAR 2 — NEW SECTION</w:t>
      </w:r>
    </w:p>
    <w:p>
      <w:pPr>
        <w:pStyle w:val="Heading2"/>
      </w:pPr>
      <w:r>
        <w:rPr>
          <w:color w:val="1B1B1B"/>
        </w:rPr>
        <w:t>Practical guide to serving &amp; tasting</w:t>
      </w:r>
    </w:p>
    <w:p>
      <w:pPr>
        <w:pStyle w:val="Heading3"/>
      </w:pPr>
      <w:r>
        <w:rPr>
          <w:color w:val="1B1B1B"/>
        </w:rPr>
        <w:t>Serving temperatures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969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Wine style</w:t>
            </w:r>
          </w:p>
        </w:tc>
        <w:tc>
          <w:tcPr>
            <w:tcW w:type="dxa" w:w="2268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Serving temperature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Crisp whites &amp; rosé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8–10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Fuller / oaked whites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10–12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Light reds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12–14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Structured reds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16–18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Sun-dried &amp; sweet whites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8–12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Fortified sweet (vin doux)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12–14 °C</w:t>
            </w:r>
          </w:p>
        </w:tc>
      </w:tr>
    </w:tbl>
    <w:p/>
    <w:p>
      <w:pPr>
        <w:pStyle w:val="Heading3"/>
      </w:pPr>
      <w:r>
        <w:rPr>
          <w:color w:val="1B1B1B"/>
        </w:rPr>
        <w:t>Glasses — a glass shape for each style</w:t>
      </w:r>
    </w:p>
    <w:p>
      <w:r>
        <w:t>Each wine glass is chosen by its shape, not its size: the shape steers the wine and its aromatics differently. Hold the glass by the stem, so the wine stays at temperature, and pour to about one-third to leave room to swirl.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402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Style / varieties</w:t>
            </w:r>
          </w:p>
        </w:tc>
        <w:tc>
          <w:tcPr>
            <w:tcW w:type="dxa" w:w="5953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Glass shape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Crisp aromatic whites — Assyrtiko, Athiri, Roditis, Sauvignon Blanc, dry Muscat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A small, tapered white-wine glass (Sauvignon Blanc shape) — narrow, so it keeps the wine cool, holds the acidity and lifts citrus and floral notes.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Fuller / oaked whites — Chardonnay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A wider white-wine glass (oaked-Chardonnay shape) — broader, giving room for texture and gentle toasty aromas.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Rosé &amp; light reds — Muscat Hamburg, Fokiano, lighter Merlot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Rosé or small red glass, slightly flared at the lip to show the fresh fruit.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Aromatic, high-acid reds — Xinomavro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A wide, rounded red-wine glass (Burgundy / Nebbiolo shape) — it softens the tannin and gathers the delicate aromatics (Xinomavro parallels Nebbiolo).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Structured Bordeaux-style reds — Cabernet Sauvignon, Cabernet Franc, Merlot, Limnio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A tall, generous red-wine glass (Bordeaux shape) — it carries the wine past firm tannins.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Spiced reds — Syrah, Grenache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Syrah shape (large red glass) — a slightly narrower chimney that tempers pepper and spice.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Sun-dried &amp; fortified sweet — liastos, vin doux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A small dessert-wine glass — compact, with a modest pour that focuses the sweetness and keeps the alcohol in check.</w:t>
            </w:r>
          </w:p>
        </w:tc>
      </w:tr>
    </w:tbl>
    <w:p/>
    <w:p>
      <w:pPr>
        <w:pStyle w:val="Heading3"/>
      </w:pPr>
      <w:r>
        <w:rPr>
          <w:color w:val="1B1B1B"/>
        </w:rPr>
        <w:t>Storage &amp; order of tasting</w:t>
      </w:r>
    </w:p>
    <w:p>
      <w:pPr>
        <w:pStyle w:val="ListBullet"/>
      </w:pPr>
      <w:r>
        <w:t>Storage: a steady 11–14 °C, 60–70% humidity, cork-sealed bottles on their side, away from light and vibration.</w:t>
      </w:r>
    </w:p>
    <w:p>
      <w:pPr>
        <w:pStyle w:val="ListBullet"/>
      </w:pPr>
      <w:r>
        <w:t>Order of tasting: lighter to heavier, dry to sweet, young to old — sparkling, whites, rosé, light red, structured red, sweet last.</w:t>
      </w:r>
    </w:p>
    <w:p>
      <w:pPr>
        <w:pStyle w:val="Heading3"/>
      </w:pPr>
      <w:r>
        <w:rPr>
          <w:color w:val="1B1B1B"/>
        </w:rPr>
        <w:t>The three steps of tasting</w:t>
      </w:r>
    </w:p>
    <w:p>
      <w:pPr>
        <w:pStyle w:val="ListBullet"/>
      </w:pPr>
      <w:r>
        <w:t>Appearance (όψη): clarity, colour and intensity, and the rim as a sign of age.</w:t>
      </w:r>
    </w:p>
    <w:p>
      <w:pPr>
        <w:pStyle w:val="ListBullet"/>
      </w:pPr>
      <w:r>
        <w:t>Nose (μύτη): primary aromas (grape), secondary aromas (winemaking) and tertiary aromas (ageing); overall intensity.</w:t>
      </w:r>
    </w:p>
    <w:p>
      <w:pPr>
        <w:pStyle w:val="ListBullet"/>
      </w:pPr>
      <w:r>
        <w:t>Palate (στόμα): sweetness, acidity, tannin, body, flavour and the length of the finish.</w:t>
      </w:r>
    </w:p>
    <w:p>
      <w:r>
        <w:rPr>
          <w:b/>
          <w:color w:val="C00000"/>
        </w:rPr>
        <w:t>▸ YEAR 2 — NEW — masterclass tools</w:t>
      </w:r>
    </w:p>
    <w:p>
      <w:pPr>
        <w:pStyle w:val="Heading2"/>
      </w:pPr>
      <w:r>
        <w:rPr>
          <w:color w:val="1B1B1B"/>
        </w:rPr>
        <w:t>Aroma wheel — PGI Mount Athos</w:t>
      </w:r>
    </w:p>
    <w:p>
      <w:r>
        <w:t>A wheel from broad aroma families at the centre to specific descriptors at the rim, built from the aromas of the PGI varieties:</w:t>
      </w:r>
    </w:p>
    <w:p>
      <w:pPr>
        <w:pStyle w:val="ListBullet"/>
      </w:pPr>
      <w:r>
        <w:t>Fruit → red fruit; black fruit; citrus; stone fruit; dried fruit.</w:t>
      </w:r>
    </w:p>
    <w:p>
      <w:pPr>
        <w:pStyle w:val="ListBullet"/>
      </w:pPr>
      <w:r>
        <w:t>Floral → rose, orange blossom, white flowers, violet.</w:t>
      </w:r>
    </w:p>
    <w:p>
      <w:pPr>
        <w:pStyle w:val="ListBullet"/>
      </w:pPr>
      <w:r>
        <w:t>Herbal / vegetal → fresh herbs, green pepper, tomato leaf, olive.</w:t>
      </w:r>
    </w:p>
    <w:p>
      <w:pPr>
        <w:pStyle w:val="ListBullet"/>
      </w:pPr>
      <w:r>
        <w:t>Spice → black pepper, warm spice, liquorice.</w:t>
      </w:r>
    </w:p>
    <w:p>
      <w:pPr>
        <w:pStyle w:val="ListBullet"/>
      </w:pPr>
      <w:r>
        <w:t>Earthy / mineral → flint, saline, mushroom, earth.</w:t>
      </w:r>
    </w:p>
    <w:p>
      <w:pPr>
        <w:pStyle w:val="ListBullet"/>
      </w:pPr>
      <w:r>
        <w:t>Oak &amp; ageing → vanilla, toast, cedar, tobacco, leather, coffee, honey, nuts.</w:t>
      </w:r>
    </w:p>
    <w:p>
      <w:pPr>
        <w:pStyle w:val="Heading2"/>
      </w:pPr>
      <w:r>
        <w:rPr>
          <w:color w:val="1B1B1B"/>
        </w:rPr>
        <w:t>Wine-identity map of the PGI zone</w:t>
      </w:r>
    </w:p>
    <w:p>
      <w:r>
        <w:t>A map of the zone — the Athonite peninsula and Ouranoupoli — showing the 10–400 m altitude band, the sandy-loam and sandy-clay-loam soils on granitic substrates, sea proximity and south-east orientation, overlaid with the styles they favour.</w:t>
      </w:r>
    </w:p>
    <w:p>
      <w:pPr>
        <w:pStyle w:val="Heading2"/>
      </w:pPr>
      <w:r>
        <w:rPr>
          <w:color w:val="1B1B1B"/>
        </w:rPr>
        <w:t>Trilingual glossary of terms</w:t>
      </w:r>
    </w:p>
    <w:p>
      <w:r>
        <w:t>A single canonical glossary shared across EN / FR / ZH so terms stay consistent in every translation. Core terms:</w:t>
      </w:r>
    </w:p>
    <w:p>
      <w:pPr>
        <w:pStyle w:val="ListBullet"/>
      </w:pPr>
      <w:r>
        <w:t>Origin &amp; framework: PGI, terroir, vintage.</w:t>
      </w:r>
    </w:p>
    <w:p>
      <w:pPr>
        <w:pStyle w:val="ListBullet"/>
      </w:pPr>
      <w:r>
        <w:t>Athonite &amp; monastic: Avaton, Diamonitirion, Typikon, Tragos, metochi, skete, cenobitic, Nama, nisteia, panigyri, trapeza.</w:t>
      </w:r>
    </w:p>
    <w:p>
      <w:pPr>
        <w:pStyle w:val="ListBullet"/>
      </w:pPr>
      <w:r>
        <w:t>Vineyard &amp; cellar: gobelet, veraison, must, paravoutes (crushing / maceration vats), vagenia (fermentation vats), sur lie, malolactic fermentation, skin contact, sulfites.</w:t>
      </w:r>
    </w:p>
    <w:p>
      <w:pPr>
        <w:pStyle w:val="ListBullet"/>
      </w:pPr>
      <w:r>
        <w:t>Wine &amp; styles: sun-dried (liastos), fortified / vin doux, tsipouro, organoleptic.</w:t>
      </w:r>
    </w:p>
    <w:p>
      <w:pPr>
        <w:pStyle w:val="Heading2"/>
      </w:pPr>
      <w:r>
        <w:rPr>
          <w:color w:val="1B1B1B"/>
        </w:rPr>
        <w:t>Masterclass facilitator kit</w:t>
      </w:r>
    </w:p>
    <w:p>
      <w:pPr>
        <w:pStyle w:val="ListBullet"/>
      </w:pPr>
      <w:r>
        <w:t>Tasting mat / placemat: numbered glass positions in tasting order, note space, a simple scoring scale.</w:t>
      </w:r>
    </w:p>
    <w:p>
      <w:pPr>
        <w:pStyle w:val="ListBullet"/>
      </w:pPr>
      <w:r>
        <w:t>Presenter notes: per-variety talking points (character, aromas, pairing, one “did you know”) with timings.</w:t>
      </w:r>
    </w:p>
    <w:p>
      <w:pPr>
        <w:pStyle w:val="ListBullet"/>
      </w:pPr>
      <w:r>
        <w:t>Handouts: the aroma wheel and a short serving-and-tasting sheet.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