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0311C"/>
          <w:sz w:val="36"/>
        </w:rPr>
        <w:t>ΟΙΝΟΙ ΑΓΙΟΥ ΟΡΟΥ — Εκπαιδευτικό Υλικό</w:t>
      </w:r>
    </w:p>
    <w:p>
      <w:pPr>
        <w:jc w:val="center"/>
      </w:pPr>
      <w:r>
        <w:rPr>
          <w:color w:val="666666"/>
          <w:sz w:val="18"/>
        </w:rPr>
        <w:t>Προσθήκες Έτους 2 ενταγμένες στο υφιστάμενο φυλλάδιο. Μαύρο = υφιστάμενο περιεχόμενο · Κόκκινο = νέα προσθήκη Έτους 2, κάτω από το κεφάλαιο στο οποίο ανήκει.</w:t>
      </w:r>
    </w:p>
    <w:p>
      <w:pPr>
        <w:pStyle w:val="Heading1"/>
      </w:pPr>
      <w:r>
        <w:rPr>
          <w:color w:val="1B1B1B"/>
        </w:rPr>
        <w:t>Κεφάλαιο 1 — Εισαγωγή</w:t>
      </w:r>
    </w:p>
    <w:p>
      <w:r>
        <w:rPr>
          <w:b/>
          <w:i/>
          <w:color w:val="666666"/>
        </w:rPr>
        <w:t xml:space="preserve">Υπάρχει ήδη στο φυλλάδιο: </w:t>
      </w:r>
      <w:r>
        <w:rPr>
          <w:i/>
          <w:color w:val="666666"/>
        </w:rPr>
        <w:t>Γεωγραφία και μυθολογία του Αγίου Όρους· ιστορική σημασία (αρχαίες αναφορές, χριστιανική περίοδος, ανάπτυξη του μοναχισμού, Τυπικά, αυτονομία, περίοδος Β΄ Παγκοσμίου Πολέμου)· περιβάλλον (βλάστηση, γεωλογία, κλίμα).</w:t>
      </w:r>
    </w:p>
    <w:p>
      <w:r>
        <w:rPr>
          <w:i/>
          <w:color w:val="666666"/>
        </w:rPr>
        <w:t>— Δεν υπάρχουν προσθήκες Έτους 2 σε αυτό το κεφάλαιο.</w:t>
      </w:r>
    </w:p>
    <w:p>
      <w:pPr>
        <w:pStyle w:val="Heading1"/>
      </w:pPr>
      <w:r>
        <w:rPr>
          <w:color w:val="1B1B1B"/>
        </w:rPr>
        <w:t>Κεφάλαιο 2 — Πολιτιστική σημασία και σήμερα</w:t>
      </w:r>
    </w:p>
    <w:p>
      <w:r>
        <w:rPr>
          <w:b/>
          <w:i/>
          <w:color w:val="666666"/>
        </w:rPr>
        <w:t xml:space="preserve">Υπάρχει ήδη στο φυλλάδιο: </w:t>
      </w:r>
      <w:r>
        <w:rPr>
          <w:i/>
          <w:color w:val="666666"/>
        </w:rPr>
        <w:t>Πολιτιστική σημασία των μονών· οι 20 Ιερές Μονές, σκήτες και κελιά· διοίκηση (Ιερά Κοινότητα, Ιερά Επιστασία, Ιερά Σύναξη)· Μνημείο Παγκόσμιας Κληρονομιάς UNESCO· Natura 2000· πληθυσμός και πρόσβαση με διαμονητήριο.</w:t>
      </w:r>
    </w:p>
    <w:p>
      <w:r>
        <w:rPr>
          <w:i/>
          <w:color w:val="666666"/>
        </w:rPr>
        <w:t>— Δεν υπάρχουν προσθήκες Έτους 2 σε αυτό το κεφάλαιο.</w:t>
      </w:r>
    </w:p>
    <w:p>
      <w:pPr>
        <w:pStyle w:val="Heading1"/>
      </w:pPr>
      <w:r>
        <w:rPr>
          <w:color w:val="1B1B1B"/>
        </w:rPr>
        <w:t>Κεφάλαιο 3 — Η οινοποιητική παράδοση του Αγίου Όρους</w:t>
      </w:r>
    </w:p>
    <w:p>
      <w:r>
        <w:rPr>
          <w:b/>
          <w:i/>
          <w:color w:val="666666"/>
        </w:rPr>
        <w:t xml:space="preserve">Υπάρχει ήδη στο φυλλάδιο: </w:t>
      </w:r>
      <w:r>
        <w:rPr>
          <w:i/>
          <w:color w:val="666666"/>
        </w:rPr>
        <w:t>Αμπελουργία από την αρχαιότητα· ο Τράγος και ο Κανόνας 15 (απαγόρευση πώλησης οίνου πέρα από τον ποταμό Ζυγό)· βυζαντινή και οθωμανική περίοδος· φυλλοξήρα (περ. 1925) και αναβίωση από το 1980· πάτημα σταφυλιών (παραβούτες, βαγένια, ρακαριό / τσίπουρο)· συμβολή του οίνου στη μοναστική ταυτότητα· οινική ταυτότητα του Αγίου Όρους (ποικιλίες, σύγχρονη οινοποίηση, πολιτιστική και πνευματική διάσταση).</w:t>
      </w:r>
    </w:p>
    <w:p>
      <w:r>
        <w:rPr>
          <w:b/>
          <w:color w:val="C00000"/>
        </w:rPr>
        <w:t>▸ ΕΤΟΣ 2 — ΝΕΟ — ενιαίο ιστορικό χρονολόγιο που συγκεντρώνει την ιστορία του Κεφαλαίου 3 σε μία συνοπτική εικόνα</w:t>
      </w:r>
    </w:p>
    <w:p>
      <w:pPr>
        <w:pStyle w:val="Heading2"/>
      </w:pPr>
      <w:r>
        <w:rPr>
          <w:color w:val="1B1B1B"/>
        </w:rPr>
        <w:t>Ιστορικό χρονολόγιο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87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Πότε</w:t>
            </w:r>
          </w:p>
        </w:tc>
        <w:tc>
          <w:tcPr>
            <w:tcW w:type="dxa" w:w="76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Ορόσημο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Αρχαιότητα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Φημισμένοι οίνοι της Χαλκιδικής (Μένδη, Άφυτις, Άκανθος, Σκιώνη)· σύμφωνα με την παράδοση, αμπελώνας συνδεόταν με τον Αριστοτέλη στα Στάγειρα.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10ος αιώνας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Οργανωμένη μοναστική κοινότητα· σχεδόν κάθε μονή διατηρεί αμπελώνες.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περ. 972 — ο Τράγος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Πρώτο Τυπικόν του Άθω· ο Κανόνας 15 ρυθμίζει τον οίνο, απαγορεύοντας την πώλησή του πέρα από τον ποταμό Ζυγό.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1046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Δεύτερο Τυπικόν (Κωνσταντίνος Θ΄ Μονομάχος), που ρυθμίζει τη μοναστηριακή περιουσία και το εμπόριο.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Βυζαντινή περίοδος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Αμπελώνες μονών σε Ανατολική Μακεδονία και Χαλκιδική· ο οίνος εμπορεύεται έως την Κωνσταντινούπολη.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Οθωμανική περίοδος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Από τον 16ο αιώνα, αύξηση της φορολογίας και παρακμή.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1749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Ίδρυση της Αθωνιάδας Ακαδημίας στη Μονή Βατοπεδίου.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1821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Επανάσταση — η παραγωγή μειώνεται απότομα.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περ. 1925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Η φυλλοξήρα φτάνει στη χερσόνησο· ακολουθεί μεταβολή στη σύνθεση των ποικιλιών.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1980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Νέα γενιά μοναχών αρχίζει συστηματική αναφύτευση και αναβίωση.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Σήμερα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ΠΓΕ Άγιο Όρος· εκσυγχρονισμένα οινοποιεία και μετόχια (π.χ. Μυλοπόταμος, Χρωμίτσα).</w:t>
            </w:r>
          </w:p>
        </w:tc>
      </w:tr>
    </w:tbl>
    <w:p/>
    <w:p>
      <w:pPr>
        <w:pStyle w:val="Heading1"/>
      </w:pPr>
      <w:r>
        <w:rPr>
          <w:color w:val="1B1B1B"/>
        </w:rPr>
        <w:t>Κεφάλαιο 4 — Η ονομασία προέλευσης: ΠΓΕ Άγιο Όρος</w:t>
      </w:r>
    </w:p>
    <w:p>
      <w:r>
        <w:rPr>
          <w:b/>
          <w:i/>
          <w:color w:val="666666"/>
        </w:rPr>
        <w:t>Υπάρχει ήδη στο φυλλάδιο: Η ζώνη ΠΓΕ (Άγιο Όρος και περιοχή Ουρανούπολης, Δήμος Σταγείρων–Ακάνθου, 10–400 μ.)· ο κατάλογος των 16 ποικιλιών που προβλέπονται από την ισχύουσα προδιαγραφή· μέθοδοι οινοποίησης (λευκός, λευκός λιαστός, ερυθρός, ερυθρός λιαστός, λικέρ / ενισχυμένος, ροζέ)· terroir, γεωμορφολογία, μικροκλίματα και κλίμα· παραδοσιακές και σύγχρονες πρακτικές· τεχνικές προδιαγραφές· και «Οι ποικιλίες» — τέσσερις κάρτες προφίλ.</w:t>
      </w:r>
      <w:r>
        <w:rPr>
          <w:i/>
          <w:color w:val="666666"/>
        </w:rPr>
      </w:r>
    </w:p>
    <w:p>
      <w:pPr>
        <w:pStyle w:val="Heading2"/>
      </w:pPr>
      <w:r>
        <w:rPr>
          <w:color w:val="1B1B1B"/>
        </w:rPr>
        <w:t>Οι ποικιλίες — υφιστάμενες κάρτες (4)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70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Ποικιλία</w:t>
            </w:r>
          </w:p>
        </w:tc>
        <w:tc>
          <w:tcPr>
            <w:tcW w:type="dxa" w:w="158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Τύπος</w:t>
            </w:r>
          </w:p>
        </w:tc>
        <w:tc>
          <w:tcPr>
            <w:tcW w:type="dxa" w:w="147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Χρώμα</w:t>
            </w:r>
          </w:p>
        </w:tc>
        <w:tc>
          <w:tcPr>
            <w:tcW w:type="dxa" w:w="21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Οξύτητα</w:t>
            </w:r>
          </w:p>
        </w:tc>
        <w:tc>
          <w:tcPr>
            <w:tcW w:type="dxa" w:w="136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Αρώματα</w:t>
            </w:r>
          </w:p>
        </w:tc>
        <w:tc>
          <w:tcPr>
            <w:tcW w:type="dxa" w:w="255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Τανίνες</w:t>
            </w:r>
          </w:p>
        </w:tc>
        <w:tc>
          <w:tcPr>
            <w:tcW w:type="dxa" w:w="145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Παλαίωση στη φιάλη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Muscat of Alexandria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Λευκή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Μέτρια ένταση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Χαμηλές έως μέτριες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Ροδοπέταλα, φλούδα πορτοκαλιού, περγαμόντο, λευκά άνθη εσπεριδοειδών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Σταφίδες, αποξηραμένο βερίκοκο, μαρμελάδα πορτοκαλιού, rancio· καλύτερο νεαρό στα ξηρά, υψηλή δυνατότητα παλαίωσης στα γλυκά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Limnio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Ερυθρή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Μέτρια ένταση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Φρέσκα βότανα, κόκκινα άγρια μούρα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Μπαχαρικά, μαρμελάδα κόκκινων φρούτων· μέτρια δυνατότητα παλαίωσης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Xinomavro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Ερυθρή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Απαλό έως μέτριο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Υψηλή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Κόκκινα άγρια μούρα, βύσσινο, μαύρη ελιά, ντομάτα, λάχανο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Υψηλές, αυστηρές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Εξελίσσεται αργά, υψηλή δυνατότητα παλαίωσης· μανιτάρι, φύλλα καπνού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Cabernet Sauvignon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Ερυθρή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Βαθύ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Υψηλή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Μαύρο φραγκοστάφυλο, ευκάλυπτος, βατόμουρα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Υψηλή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Φύλλα καπνού, μανιτάρι, γήινα στοιχεία, δέρμα, καφές· μεγάλη δυνατότητα παλαίωσης</w:t>
            </w:r>
          </w:p>
        </w:tc>
      </w:tr>
    </w:tbl>
    <w:p/>
    <w:p>
      <w:r>
        <w:rPr>
          <w:b/>
          <w:color w:val="C00000"/>
        </w:rPr>
        <w:t>▸ ΕΤΟΣ 2 — ΝΕΕΣ ΚΑΡΤΕΣ — συμπλήρωση του συνόλου στις 16 ποικιλίες που προβλέπονται από την ισχύουσα προδιαγραφή ΠΓΕ (+ Φωκιανό, ιστορική αναφορά)</w:t>
      </w:r>
    </w:p>
    <w:p>
      <w:pPr>
        <w:pStyle w:val="Heading2"/>
      </w:pPr>
      <w:r>
        <w:rPr>
          <w:color w:val="1B1B1B"/>
        </w:rPr>
        <w:t>Ερυθρές ποικιλίες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70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Ποικιλία</w:t>
            </w:r>
          </w:p>
        </w:tc>
        <w:tc>
          <w:tcPr>
            <w:tcW w:type="dxa" w:w="158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Τύπος</w:t>
            </w:r>
          </w:p>
        </w:tc>
        <w:tc>
          <w:tcPr>
            <w:tcW w:type="dxa" w:w="147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Χρώμα</w:t>
            </w:r>
          </w:p>
        </w:tc>
        <w:tc>
          <w:tcPr>
            <w:tcW w:type="dxa" w:w="21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Οξύτητα</w:t>
            </w:r>
          </w:p>
        </w:tc>
        <w:tc>
          <w:tcPr>
            <w:tcW w:type="dxa" w:w="136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Αρώματα</w:t>
            </w:r>
          </w:p>
        </w:tc>
        <w:tc>
          <w:tcPr>
            <w:tcW w:type="dxa" w:w="255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Τανίνες</w:t>
            </w:r>
          </w:p>
        </w:tc>
        <w:tc>
          <w:tcPr>
            <w:tcW w:type="dxa" w:w="145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Παλαίωση στη φιάλη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Cabernet Franc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Ερυθρή · Διεθνής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Σμέουρο, κόκκινο φραγκοστάφυλο, φυλλώδες / πράσινη πιπεριά, βιολέτα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Μέτριες, λεπτόκοκκες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Κέδρος, γραφίτης, μύτη μολυβιού· μέτρια δυνατότητα παλαίωσης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Syrah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Ερυθρή · Διεθνής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Βαθύ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Βατόμουρο, μαύρο φραγκοστάφυλο, μαύρο πιπέρι, βιολέτα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Υψηλή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Καπνιστό κρέας, δέρμα, ελιά, μπαχαρικά· υψηλή δυνατότητα παλαίωσης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Merlot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Ερυθρή · Διεθνής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Μέτριο έως βαθύ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Δαμάσκηνο, μαύρο κεράσι, κακάο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Μέτριες, μαλακές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Κέικ φρούτων, κακάο, καπνός· μέτρια δυνατότητα παλαίωσης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Grenache Rouge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Ερυθρή · Διεθνής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Χαμηλές έως μέτριες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Φράουλα, σμέουρο, λευκό πιπέρι, αποξηραμένα βότανα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Μέτριες, μαλακές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Σύκο, δέρμα, θερμά μπαχαρικά· μέτρια δυνατότητα παλαίωσης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Muscat Hamburg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Ερυθρή / ελαφρά · Διεθνής (αρωματική· επιτραπέζιο και οινοποιήσιμο σταφύλι)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Ανοιχτό έως μέτριο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Σταφυλένιο / μοσχάτο, τριαντάφυλλο, φρέσκα κόκκινα φρούτα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Χαμηλές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Καλύτερο νεαρό και φρέσκο· χαμηλή δυνατότητα παλαίωσης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Fokiano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Ερυθρή · Ελληνική, γηγενής — καλλιεργείται στην περιοχή αλλά δεν περιλαμβάνεται στις 16 ποικιλίες που προβλέπονται από την ισχύουσα προδιαγραφή ΠΓΕ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Ανοιχτό έως μέτριο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Λαμπερό κεράσι, κόκκινο φραγκοστάφυλο, ήπια μπαχαρικά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Χαμηλές έως μέτριες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Καλύτερο νεαρό· χαμηλή έως μέτρια δυνατότητα παλαίωσης</w:t>
            </w:r>
          </w:p>
        </w:tc>
      </w:tr>
    </w:tbl>
    <w:p/>
    <w:p>
      <w:pPr>
        <w:pStyle w:val="Heading2"/>
      </w:pPr>
      <w:r>
        <w:rPr>
          <w:color w:val="1B1B1B"/>
        </w:rPr>
        <w:t>Λευκές ποικιλίες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70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Ποικιλία</w:t>
            </w:r>
          </w:p>
        </w:tc>
        <w:tc>
          <w:tcPr>
            <w:tcW w:type="dxa" w:w="158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Τύπος</w:t>
            </w:r>
          </w:p>
        </w:tc>
        <w:tc>
          <w:tcPr>
            <w:tcW w:type="dxa" w:w="147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Χρώμα</w:t>
            </w:r>
          </w:p>
        </w:tc>
        <w:tc>
          <w:tcPr>
            <w:tcW w:type="dxa" w:w="21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Οξύτητα</w:t>
            </w:r>
          </w:p>
        </w:tc>
        <w:tc>
          <w:tcPr>
            <w:tcW w:type="dxa" w:w="136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Αρώματα</w:t>
            </w:r>
          </w:p>
        </w:tc>
        <w:tc>
          <w:tcPr>
            <w:tcW w:type="dxa" w:w="255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Τανίνες</w:t>
            </w:r>
          </w:p>
        </w:tc>
        <w:tc>
          <w:tcPr>
            <w:tcW w:type="dxa" w:w="145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Παλαίωση στη φιάλη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Assyrtiko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Λευκή · Ελληνική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Απαλό, λεμονοπράσινο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Υψηλή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Λεμόνι / εσπεριδοειδή, πυρόλιθος, ορυκτότητα, αλμυρότητα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Μελένιο, κηρώδες, ξηροκαρπάτο· υψηλή δυνατότητα παλαίωσης (ασυνήθιστη για λευκό)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Athiri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Λευκή · Ελληνική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Απαλό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Εσπεριδοειδή, λευκά άνθη, απαλό ροδάκινο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Καλύτερο νεαρό και φρέσκο· χαμηλή δυνατότητα παλαίωσης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Roditis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Λευκή (ροδόχρωμη φλούδα) · Ελληνική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Απαλό, με ελαφρά χάλκινη απόχρωση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Medium to high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Εσπεριδοειδή, πεπόνι, ελαφρά ανθικό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Καταλληλότερο για κατανάλωση σε νεαρή ηλικία· χαμηλό δυναμικό παλαίωσης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Chardonnay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Λευκή · Διεθνής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Απαλό έως χρυσαφί (όταν έχει περάσει από δρυ)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Μέτρια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Εσπεριδοειδή, μήλο, αχλάδι (χωρίς δρυ)· βούτυρο, βανίλια, φρυγανιά (με δρυ)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Ξηροκαρπάτο, μελένιο στο στυλ με δρυ· μέτρια δυνατότητα παλαίωσης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Sauvignon Blanc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Λευκή · Διεθνής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Απαλό, λεμονοπράσινο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Υψηλή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Εσπεριδοειδή, πράσινα βότανα, φραγκοστάφυλο, πράσινο μήλο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Καλύτερο νεαρό και φρέσκο· χαμηλή δυνατότητα παλαίωσης</w:t>
            </w:r>
          </w:p>
        </w:tc>
      </w:tr>
    </w:tbl>
    <w:p/>
    <w:p>
      <w:pPr>
        <w:pStyle w:val="Heading1"/>
      </w:pPr>
      <w:r>
        <w:rPr>
          <w:color w:val="1B1B1B"/>
        </w:rPr>
        <w:t>Προτεινόμενες νέες ενότητες (Έτος 2)</w:t>
      </w:r>
    </w:p>
    <w:p>
      <w:r>
        <w:t>Οι ενότητες αυτές ανήκουν στο φυλλάδιο, αλλά δεν έχουν υφιστάμενο αντίστοιχο περιεχόμενο· καθεμία αποτελεί νέα προσθήκη.</w:t>
      </w:r>
    </w:p>
    <w:p>
      <w:r>
        <w:rPr>
          <w:b/>
          <w:color w:val="C00000"/>
        </w:rPr>
        <w:t>▸ ΕΤΟΣ 2 — ΝΕΑ ΕΝΟΤΗΤΑ</w:t>
      </w:r>
    </w:p>
    <w:p>
      <w:pPr>
        <w:pStyle w:val="Heading2"/>
      </w:pPr>
      <w:r>
        <w:rPr>
          <w:color w:val="1B1B1B"/>
        </w:rPr>
        <w:t>Οδηγός γευστικών συνδυασμών</w:t>
      </w:r>
    </w:p>
    <w:p>
      <w:r>
        <w:t>Κάθε στυλ οίνου συνδέεται με την ελληνική και μεσογειακή κουζίνα, καθώς και με τα νηστίσιμα και εορταστικά πιάτα της μοναστικής τράπεζας. Ο οδηγός αφορά τον επιτραπέζιο οίνο και όχι τον οίνο της Θείας Λειτουργίας.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38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Στυλ / ποικιλίες</w:t>
            </w:r>
          </w:p>
        </w:tc>
        <w:tc>
          <w:tcPr>
            <w:tcW w:type="dxa" w:w="3288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Ελληνικά και μεσογειακά πιάτα</w:t>
            </w:r>
          </w:p>
        </w:tc>
        <w:tc>
          <w:tcPr>
            <w:tcW w:type="dxa" w:w="3855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Μοναστική τράπεζα — μεγάλες θρησκευτικές εορτές και πανηγύρεις μονών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Τραγανά λευκά — Ασύρτικο, Αθήρι, Ροδίτης, Sauvignon Blanc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Ψητό ψάρι, θαλασσινά, λεμονάτα πιάτα, σαλάτες, φέτα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Νηστίσιμα: όσπρια (φάβα, γίγαντες), άγρια χόρτα, χταπόδι, λαδερά λαχανικά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Αρωματικά και δρύινα λευκά — ξηρό Μοσχάτο, Chardonnay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Πουλερικά, κρεμώδη ή βουτυράτα πιάτα, ήπια τυριά, αρωματικές σαλάτες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Χορτόπιτες και πιάτα με βότανα· πλουσιότερη μαγειρική με ελαιόλαδο σε μη νηστίσιμες ημέρες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Ροζέ και ελαφρά ερυθρά — Muscat Hamburg, Φωκιανό, ελαφρύτερο Merlot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Αλλαντικά, πιάτα με ντομάτα, ψητά λαχανικά, ήπια τυριά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Νηστίσιμα λαχανικά μαγειρευτά (μπριάμ, λαδερά), πιάτα με ντομάτα και όσπρια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Δομημένα ερυθρά — Ξινόμαυρο, Λημνιό, Cabernet, Syrah, Grenache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Ψητό ή φούρνου κόκκινο κρέας, κυνήγι, μαγειρευτά, παλαιωμένα τυριά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Εορταστικές ημέρες: ψητό αρνί, κρεατικά μαγειρευτά, παλαιωμένη γραβιέρα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Λιαστά και ενισχυμένα γλυκά — γλυκό Μοσχάτο, λιαστός, vin doux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Επιδόρπια, αποξηραμένα φρούτα και ξηροί καρποί, μπλε τυρί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Εορταστικά γλυκά, γλυκά με μέλι και ξηρούς καρπούς (π.χ. μπακλαβάς), αποξηραμένα φρούτα και ξηροί καρποί· μετά το γεύμα</w:t>
            </w:r>
          </w:p>
        </w:tc>
      </w:tr>
    </w:tbl>
    <w:p/>
    <w:p>
      <w:r>
        <w:rPr>
          <w:b/>
          <w:color w:val="C00000"/>
        </w:rPr>
        <w:t>▸ ΕΤΟΣ 2 — ΝΕΑ ΕΝΟΤΗΤΑ</w:t>
      </w:r>
    </w:p>
    <w:p>
      <w:pPr>
        <w:pStyle w:val="Heading2"/>
      </w:pPr>
      <w:r>
        <w:rPr>
          <w:color w:val="1B1B1B"/>
        </w:rPr>
        <w:t>Πρακτικός οδηγός σερβιρίσματος και γευσιγνωσίας</w:t>
      </w:r>
    </w:p>
    <w:p>
      <w:pPr>
        <w:pStyle w:val="Heading3"/>
      </w:pPr>
      <w:r>
        <w:rPr>
          <w:color w:val="1B1B1B"/>
        </w:rPr>
        <w:t>Θερμοκρασίες σερβιρίσματος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969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Στυλ οίνου</w:t>
            </w:r>
          </w:p>
        </w:tc>
        <w:tc>
          <w:tcPr>
            <w:tcW w:type="dxa" w:w="2268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Θερμοκρασία σερβιρίσματος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Τραγανά λευκά και ροζέ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8–10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Πιο γεμάτα / δρύινα λευκά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10–12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Ελαφρά ερυθρά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12–14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Δομημένα ερυθρά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16–18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Λιαστά και γλυκά λευκά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8–12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Ενισχυμένο γλυκό (vin doux)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12–14 °C</w:t>
            </w:r>
          </w:p>
        </w:tc>
      </w:tr>
    </w:tbl>
    <w:p/>
    <w:p>
      <w:pPr>
        <w:pStyle w:val="Heading3"/>
      </w:pPr>
      <w:r>
        <w:rPr>
          <w:color w:val="1B1B1B"/>
        </w:rPr>
        <w:t>Ποτήρια — σχήμα ποτηριού για κάθε στυλ</w:t>
      </w:r>
    </w:p>
    <w:p>
      <w:r>
        <w:t>Κάθε ποτήρι επιλέγεται με βάση το σχήμα του και όχι το μέγεθός του: το σχήμα κατευθύνει διαφορετικά τον οίνο και τα αρωματικά του στοιχεία. Κρατάμε το ποτήρι από το πόδι, ώστε ο οίνος να παραμένει στη σωστή θερμοκρασία, και γεμίζουμε περίπου έως το ένα τρίτο για να υπάρχει χώρος για περιστροφή.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402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Στυλ / ποικιλίες</w:t>
            </w:r>
          </w:p>
        </w:tc>
        <w:tc>
          <w:tcPr>
            <w:tcW w:type="dxa" w:w="5953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Σχήμα ποτηριού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Τραγανά αρωματικά λευκά — Ασύρτικο, Αθήρι, Ροδίτης, Sauvignon Blanc, ξηρό Μοσχάτο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Μικρό, κωνικό ποτήρι λευκού οίνου (τύπου Sauvignon Blanc) — στενό, ώστε να κρατά τον οίνο δροσερό, να συγκρατεί την οξύτητα και να αναδεικνύει τα εσπεριδοειδή και ανθικά αρώματα.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Πιο γεμάτα / δρύινα λευκά — Chardonnay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Πιο φαρδύ ποτήρι λευκού οίνου (τύπου oaked Chardonnay) — ευρύτερο, δίνοντας χώρο στην υφή και στα απαλά φρυγανισμένα αρώματα.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Ροζέ και ελαφρά ερυθρά — Muscat Hamburg, Φωκιανό, ελαφρύτερο Merlot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Ποτήρι ροζέ ή μικρό ποτήρι ερυθρού, ελαφρά ανοιχτό στο χείλος, ώστε να αναδεικνύει το φρέσκο φρούτο.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Αρωματικά ερυθρά υψηλής οξύτητας — Ξινόμαυρο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Φαρδύ, στρογγυλό ποτήρι ερυθρού (τύπου Burgundy / Nebbiolo) — μαλακώνει τις τανίνες και συγκεντρώνει τα λεπτά αρωματικά στοιχεία.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Δομημένα ερυθρά τύπου Bordeaux — Cabernet Sauvignon, Cabernet Franc, Merlot, Λημνιό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Ψηλό, γενναιόδωρο ποτήρι ερυθρού (τύπου Bordeaux) — οδηγεί τον οίνο πέρα από τις στιβαρές τανίνες.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Πικάντικα ερυθρά — Syrah, Grenache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Ποτήρι τύπου Syrah (μεγάλο ποτήρι ερυθρού) — με ελαφρά στενότερη καμινάδα που μετριάζει πιπέρι και μπαχαρικά.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Λιαστά και ενισχυμένα γλυκά — λιαστός, vin doux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Μικρό ποτήρι επιδόρπιου οίνου — συμπαγές, με μικρή ποσότητα σερβιρίσματος, που εστιάζει τη γλυκύτητα και ελέγχει την αλκοόλη.</w:t>
            </w:r>
          </w:p>
        </w:tc>
      </w:tr>
    </w:tbl>
    <w:p/>
    <w:p>
      <w:pPr>
        <w:pStyle w:val="Heading3"/>
      </w:pPr>
      <w:r>
        <w:rPr>
          <w:color w:val="1B1B1B"/>
        </w:rPr>
        <w:t>Αποθήκευση και σειρά γευσιγνωσίας</w:t>
      </w:r>
    </w:p>
    <w:p>
      <w:pPr>
        <w:pStyle w:val="ListBullet"/>
      </w:pPr>
      <w:r>
        <w:t>Αποθήκευση: σταθερή θερμοκρασία 11–14 °C, υγρασία 60–70%, φιάλες με φελλό πλαγιασμένες, μακριά από φως και κραδασμούς.</w:t>
      </w:r>
    </w:p>
    <w:p>
      <w:pPr>
        <w:pStyle w:val="ListBullet"/>
      </w:pPr>
      <w:r>
        <w:t>Σειρά γευσιγνωσίας: από τα ελαφρύτερα προς τα πιο γεμάτα, από ξηρά προς γλυκά, από νεαρά προς παλαιότερα — αφρώδη, λευκά, ροζέ, ελαφρά ερυθρά, δομημένα ερυθρά, γλυκά στο τέλος.</w:t>
      </w:r>
    </w:p>
    <w:p>
      <w:pPr>
        <w:pStyle w:val="Heading3"/>
      </w:pPr>
      <w:r>
        <w:rPr>
          <w:color w:val="1B1B1B"/>
        </w:rPr>
        <w:t>Τα τρία στάδια της γευσιγνωσίας</w:t>
      </w:r>
    </w:p>
    <w:p>
      <w:pPr>
        <w:pStyle w:val="ListBullet"/>
      </w:pPr>
      <w:r>
        <w:t>Όψη: καθαρότητα, χρώμα και ένταση, καθώς και το χείλος ως ένδειξη ηλικίας.</w:t>
      </w:r>
    </w:p>
    <w:p>
      <w:pPr>
        <w:pStyle w:val="ListBullet"/>
      </w:pPr>
      <w:r>
        <w:t>Μύτη: πρωτογενή αρώματα (σταφύλι), δευτερογενή (οινοποίηση) και τριτογενή (παλαίωση)· συνολική ένταση.</w:t>
      </w:r>
    </w:p>
    <w:p>
      <w:pPr>
        <w:pStyle w:val="ListBullet"/>
      </w:pPr>
      <w:r>
        <w:t>Στόμα: γλυκύτητα, οξύτητα, τανίνες, σώμα, γεύση και διάρκεια επίγευσης.</w:t>
      </w:r>
    </w:p>
    <w:p>
      <w:r>
        <w:rPr>
          <w:b/>
          <w:color w:val="C00000"/>
        </w:rPr>
        <w:t>▸ ΕΤΟΣ 2 — ΝΕΟ — εργαλεία masterclass</w:t>
      </w:r>
    </w:p>
    <w:p>
      <w:pPr>
        <w:pStyle w:val="Heading2"/>
      </w:pPr>
      <w:r>
        <w:rPr>
          <w:color w:val="1B1B1B"/>
        </w:rPr>
        <w:t>Τροχός αρωμάτων — ΠΓΕ Άγιο Όρος</w:t>
      </w:r>
    </w:p>
    <w:p>
      <w:r>
        <w:t>Τροχός που ξεκινά από ευρείες οικογένειες αρωμάτων στο κέντρο και καταλήγει σε συγκεκριμένους περιγραφικούς όρους στην περιφέρεια, βασισμένος στα αρώματα των ποικιλιών ΠΓΕ:</w:t>
      </w:r>
    </w:p>
    <w:p>
      <w:pPr>
        <w:pStyle w:val="ListBullet"/>
      </w:pPr>
      <w:r>
        <w:t>Φρούτο → κόκκινα φρούτα· μαύρα φρούτα· εσπεριδοειδή· πυρηνόκαρπα· αποξηραμένα φρούτα.</w:t>
      </w:r>
    </w:p>
    <w:p>
      <w:pPr>
        <w:pStyle w:val="ListBullet"/>
      </w:pPr>
      <w:r>
        <w:t>Ανθικά → τριαντάφυλλο, άνθος πορτοκαλιάς, λευκά άνθη, βιολέτα.</w:t>
      </w:r>
    </w:p>
    <w:p>
      <w:pPr>
        <w:pStyle w:val="ListBullet"/>
      </w:pPr>
      <w:r>
        <w:t>Βοτανικά / φυτικά → φρέσκα βότανα, πράσινη πιπεριά, φύλλο ντομάτας, ελιά.</w:t>
      </w:r>
    </w:p>
    <w:p>
      <w:pPr>
        <w:pStyle w:val="ListBullet"/>
      </w:pPr>
      <w:r>
        <w:t>Μπαχαρικά → μαύρο πιπέρι, θερμά μπαχαρικά, γλυκόριζα.</w:t>
      </w:r>
    </w:p>
    <w:p>
      <w:pPr>
        <w:pStyle w:val="ListBullet"/>
      </w:pPr>
      <w:r>
        <w:t>Γήινα / ορυκτά → πυρόλιθος, αλμυρότητα, μανιτάρι, γη.</w:t>
      </w:r>
    </w:p>
    <w:p>
      <w:pPr>
        <w:pStyle w:val="ListBullet"/>
      </w:pPr>
      <w:r>
        <w:t>Δρυς και παλαίωση → βανίλια, φρυγανιά, κέδρος, καπνός, δέρμα, καφές, μέλι, ξηροί καρποί.</w:t>
      </w:r>
    </w:p>
    <w:p>
      <w:pPr>
        <w:pStyle w:val="Heading2"/>
      </w:pPr>
      <w:r>
        <w:rPr>
          <w:color w:val="1B1B1B"/>
        </w:rPr>
        <w:t>Χάρτης οινικής ταυτότητας της ζώνης ΠΓΕ</w:t>
      </w:r>
    </w:p>
    <w:p>
      <w:r>
        <w:t>Χάρτης της ζώνης — της αθωνικής χερσονήσου και της Ουρανούπολης — που παρουσιάζει τη ζώνη υψομέτρου 10–400 μ., τα αμμώδη-πηλώδη και αμμώδη-αργιλοπηλώδη εδάφη πάνω σε γρανιτικά υποστρώματα, την εγγύτητα στη θάλασσα και τον νοτιοανατολικό προσανατολισμό, σε συνδυασμό με τα στυλ οίνου που ευνοούνται.</w:t>
      </w:r>
    </w:p>
    <w:p>
      <w:pPr>
        <w:pStyle w:val="Heading2"/>
      </w:pPr>
      <w:r>
        <w:rPr>
          <w:color w:val="1B1B1B"/>
        </w:rPr>
        <w:t>Τρίγλωσσο γλωσσάρι όρων</w:t>
      </w:r>
    </w:p>
    <w:p>
      <w:r>
        <w:t>Ενιαίο κανονικό γλωσσάρι για EN / FR / ZH, ώστε οι όροι να παραμένουν συνεπείς σε κάθε μετάφραση. Βασικοί όροι:</w:t>
      </w:r>
    </w:p>
    <w:p>
      <w:pPr>
        <w:pStyle w:val="ListBullet"/>
      </w:pPr>
      <w:r>
        <w:t>Προέλευση και πλαίσιο: ΠΓΕ, terroir, εσοδεία.</w:t>
      </w:r>
    </w:p>
    <w:p>
      <w:pPr>
        <w:pStyle w:val="ListBullet"/>
      </w:pPr>
      <w:r>
        <w:t>Αθωνικά και μοναστικά: Άβατον, Διαμονητήριο, Τυπικόν, Τράγος, μετόχι, σκήτη, κοινοβιακό, Νάμα, νηστεία, πανηγύρι, τράπεζα.</w:t>
      </w:r>
    </w:p>
    <w:p>
      <w:pPr>
        <w:pStyle w:val="ListBullet"/>
      </w:pPr>
      <w:r>
        <w:t>Αμπελώνας και κελάρι: κυπελλοειδές κλάδεμα (gobelet), περκασμός, γλεύκος, παραβούτες (δεξαμενές έκθλιψης / εκχύλισης), βαγένια (δεξαμενές ζύμωσης), sur lie, μηλογαλακτική ζύμωση, επαφή με τα στέμφυλα, θειώδη.</w:t>
      </w:r>
    </w:p>
    <w:p>
      <w:pPr>
        <w:pStyle w:val="ListBullet"/>
      </w:pPr>
      <w:r>
        <w:t>Οίνος και στυλ: λιαστός, ενισχυμένος / vin doux, τσίπουρο, οργανοληπτικός.</w:t>
      </w:r>
    </w:p>
    <w:p>
      <w:pPr>
        <w:pStyle w:val="Heading2"/>
      </w:pPr>
      <w:r>
        <w:rPr>
          <w:color w:val="1B1B1B"/>
        </w:rPr>
        <w:t>Υλικό συντονιστή masterclass</w:t>
      </w:r>
    </w:p>
    <w:p>
      <w:pPr>
        <w:pStyle w:val="ListBullet"/>
      </w:pPr>
      <w:r>
        <w:t>Υπόστρωμα γευσιγνωσίας / placemat: αριθμημένες θέσεις ποτηριών με σειρά γευσιγνωσίας, χώρος σημειώσεων, απλή κλίμακα αξιολόγησης.</w:t>
      </w:r>
    </w:p>
    <w:p>
      <w:pPr>
        <w:pStyle w:val="ListBullet"/>
      </w:pPr>
      <w:r>
        <w:t>Σημειώσεις παρουσιαστή: βασικά σημεία ανά ποικιλία (χαρακτήρας, αρώματα, συνδυασμός, ένα «γνωρίζατε ότι») με ενδεικτικούς χρόνους.</w:t>
      </w:r>
    </w:p>
    <w:p>
      <w:pPr>
        <w:pStyle w:val="ListBullet"/>
      </w:pPr>
      <w:r>
        <w:t>Φυλλάδια συμμετεχόντων: ο τροχός αρωμάτων και σύντομο έντυπο σερβιρίσματος και γευσιγνωσίας.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